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2" w14:textId="4925C7FB" w:rsidR="00E66558" w:rsidRPr="00D13E29" w:rsidRDefault="009D71E8" w:rsidP="00971283">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t xml:space="preserve">This statement details our </w:t>
      </w:r>
      <w:r w:rsidR="006E1AF6">
        <w:t xml:space="preserve">school’s use of pupil premium </w:t>
      </w:r>
      <w:r>
        <w:t xml:space="preserve">funding to help improve the attainment of our disadvantaged pupils. </w:t>
      </w:r>
    </w:p>
    <w:p w14:paraId="2A7D54B3" w14:textId="77777777" w:rsidR="00E66558" w:rsidRDefault="009D71E8" w:rsidP="00971283">
      <w:pPr>
        <w:rPr>
          <w:b/>
        </w:rPr>
      </w:pPr>
      <w:r>
        <w:t xml:space="preserve">It outlines our pupil premium strategy, how we intend to spend the funding in this academic year and the effect that last year’s spending of pupil premium had within our school. </w:t>
      </w:r>
    </w:p>
    <w:p w14:paraId="2A7D54B4" w14:textId="3D693003" w:rsidR="00E66558" w:rsidRDefault="009D71E8" w:rsidP="00971283">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rsidP="00971283">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rsidP="00971283">
            <w:r>
              <w:t>Data</w:t>
            </w:r>
          </w:p>
        </w:tc>
      </w:tr>
      <w:tr w:rsidR="00E27862" w:rsidRPr="00E27862" w14:paraId="2A7D54BA"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Pr="00E27862" w:rsidRDefault="009D71E8" w:rsidP="00971283">
            <w:r w:rsidRPr="00E27862">
              <w:t>School name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08D59AE2" w:rsidR="00E66558" w:rsidRPr="00E27862" w:rsidRDefault="001F39A6" w:rsidP="00971283">
            <w:r>
              <w:t>Wigan St Andrews CE Primary School</w:t>
            </w:r>
          </w:p>
        </w:tc>
      </w:tr>
      <w:tr w:rsidR="00E27862" w:rsidRPr="00E27862" w14:paraId="2A7D54BD"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E27862" w:rsidRDefault="009D71E8" w:rsidP="00971283">
            <w:r w:rsidRPr="00E27862">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49A23475" w:rsidR="00E66558" w:rsidRPr="00E27862" w:rsidRDefault="00F60F81" w:rsidP="00971283">
            <w:r>
              <w:t>196</w:t>
            </w:r>
          </w:p>
        </w:tc>
      </w:tr>
      <w:tr w:rsidR="00E27862" w:rsidRPr="00E27862" w14:paraId="2A7D54C0"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E27862" w:rsidRDefault="009D71E8" w:rsidP="00971283">
            <w:r w:rsidRPr="00E27862">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5CD694CF" w:rsidR="00E66558" w:rsidRPr="00E27862" w:rsidRDefault="00F60F81" w:rsidP="00971283">
            <w:r>
              <w:t>21.9%</w:t>
            </w:r>
          </w:p>
        </w:tc>
      </w:tr>
      <w:tr w:rsidR="00E27862" w:rsidRPr="00E27862" w14:paraId="2A7D54C3"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21BF27DE" w:rsidR="00E66558" w:rsidRPr="00E27862" w:rsidRDefault="009D71E8" w:rsidP="00971283">
            <w:pPr>
              <w:rPr>
                <w:szCs w:val="22"/>
              </w:rPr>
            </w:pPr>
            <w:r w:rsidRPr="00E27862">
              <w:rPr>
                <w:szCs w:val="22"/>
              </w:rPr>
              <w:t xml:space="preserve">Academic year/years that our current pupil premium strategy plan covers </w:t>
            </w:r>
            <w:r w:rsidRPr="00E27862">
              <w:rPr>
                <w:b/>
                <w:szCs w:val="22"/>
              </w:rPr>
              <w:t>(3 year plans are recommended)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81FBC" w14:textId="6B22779B" w:rsidR="00285516" w:rsidRPr="00E27862" w:rsidRDefault="006E1AF6" w:rsidP="00971283">
            <w:r>
              <w:t>202</w:t>
            </w:r>
            <w:r w:rsidR="00F60F81">
              <w:t>5</w:t>
            </w:r>
            <w:r w:rsidR="003061EC" w:rsidRPr="00E27862">
              <w:t>/</w:t>
            </w:r>
            <w:r>
              <w:t>202</w:t>
            </w:r>
            <w:r w:rsidR="00F60F81">
              <w:t>6</w:t>
            </w:r>
            <w:r w:rsidR="00285516" w:rsidRPr="00E27862">
              <w:t xml:space="preserve"> to </w:t>
            </w:r>
          </w:p>
          <w:p w14:paraId="2A7D54C2" w14:textId="6DB8EB3B" w:rsidR="00E66558" w:rsidRPr="00E27862" w:rsidRDefault="006E1AF6" w:rsidP="00971283">
            <w:r>
              <w:t>202</w:t>
            </w:r>
            <w:r w:rsidR="00F60F81">
              <w:t>8</w:t>
            </w:r>
            <w:r w:rsidR="003061EC" w:rsidRPr="004D4F76">
              <w:t>/</w:t>
            </w:r>
            <w:r>
              <w:t>202</w:t>
            </w:r>
            <w:r w:rsidR="00F60F81">
              <w:t>9</w:t>
            </w:r>
          </w:p>
        </w:tc>
      </w:tr>
      <w:tr w:rsidR="00E27862" w:rsidRPr="00E27862" w14:paraId="2A7D54C6"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E27862" w:rsidRDefault="009D71E8" w:rsidP="00971283">
            <w:r w:rsidRPr="00E27862">
              <w:rPr>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716010E9" w:rsidR="00E66558" w:rsidRPr="00E27862" w:rsidRDefault="00772D78" w:rsidP="00971283">
            <w:r w:rsidRPr="00E27862">
              <w:t>Dece</w:t>
            </w:r>
            <w:r w:rsidR="006E1AF6">
              <w:t>mber 202</w:t>
            </w:r>
            <w:r w:rsidR="00F60F81">
              <w:t>5</w:t>
            </w:r>
          </w:p>
        </w:tc>
      </w:tr>
      <w:tr w:rsidR="00E27862" w:rsidRPr="00E27862" w14:paraId="2A7D54C9"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E27862" w:rsidRDefault="009D71E8" w:rsidP="00971283">
            <w:r w:rsidRPr="00E27862">
              <w:rPr>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7ACBB786" w:rsidR="00E66558" w:rsidRPr="00E27862" w:rsidRDefault="006E1AF6" w:rsidP="00971283">
            <w:r>
              <w:t>December 202</w:t>
            </w:r>
            <w:r w:rsidR="00F60F81">
              <w:t>6</w:t>
            </w:r>
          </w:p>
        </w:tc>
      </w:tr>
      <w:tr w:rsidR="00E27862" w:rsidRPr="00E27862" w14:paraId="2A7D54CC"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E27862" w:rsidRDefault="009D71E8" w:rsidP="00971283">
            <w:r w:rsidRPr="00E27862">
              <w:t>Statement authorised by</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37688" w14:textId="77777777" w:rsidR="00E66558" w:rsidRDefault="006E1AF6" w:rsidP="00971283">
            <w:r>
              <w:t>Lindsey Taylor</w:t>
            </w:r>
          </w:p>
          <w:p w14:paraId="2A7D54CB" w14:textId="2DD79A7E" w:rsidR="00CE1A79" w:rsidRPr="00E27862" w:rsidRDefault="00CE1A79" w:rsidP="00971283">
            <w:r>
              <w:t xml:space="preserve">Headteacher </w:t>
            </w:r>
          </w:p>
        </w:tc>
      </w:tr>
      <w:tr w:rsidR="00E27862" w:rsidRPr="00E27862" w14:paraId="2A7D54CF"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E27862" w:rsidRDefault="009D71E8" w:rsidP="00971283">
            <w:r w:rsidRPr="00E27862">
              <w:t>Pupil premium lead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4E4EC" w14:textId="77777777" w:rsidR="00E66558" w:rsidRDefault="006E1AF6" w:rsidP="00971283">
            <w:pPr>
              <w:rPr>
                <w:szCs w:val="28"/>
              </w:rPr>
            </w:pPr>
            <w:r>
              <w:rPr>
                <w:szCs w:val="28"/>
              </w:rPr>
              <w:t>Lindsey Taylor</w:t>
            </w:r>
          </w:p>
          <w:p w14:paraId="2A7D54CE" w14:textId="160EDC50" w:rsidR="00CE1A79" w:rsidRPr="00E27862" w:rsidRDefault="00CE1A79" w:rsidP="00971283">
            <w:r>
              <w:rPr>
                <w:szCs w:val="28"/>
              </w:rPr>
              <w:t>Headteacher</w:t>
            </w:r>
          </w:p>
        </w:tc>
      </w:tr>
      <w:tr w:rsidR="00E27862" w:rsidRPr="00E27862" w14:paraId="2A7D54D2" w14:textId="77777777" w:rsidTr="00547948">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0AEE9D2E" w:rsidR="00E66558" w:rsidRPr="00E27862" w:rsidRDefault="00D13E29" w:rsidP="00971283">
            <w:r>
              <w:t>Governor</w:t>
            </w:r>
            <w:r w:rsidR="009D71E8" w:rsidRPr="00E27862">
              <w:rPr>
                <w:szCs w:val="22"/>
              </w:rPr>
              <w:t xml:space="preserve"> </w:t>
            </w:r>
            <w:r w:rsidR="009D71E8" w:rsidRPr="00E27862">
              <w:t>lead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4B9F153F" w:rsidR="00E66558" w:rsidRPr="00E27862" w:rsidRDefault="006E1AF6" w:rsidP="00971283">
            <w:pPr>
              <w:rPr>
                <w:szCs w:val="28"/>
              </w:rPr>
            </w:pPr>
            <w:r>
              <w:rPr>
                <w:szCs w:val="28"/>
              </w:rPr>
              <w:t>Jenny Belk</w:t>
            </w:r>
          </w:p>
        </w:tc>
      </w:tr>
    </w:tbl>
    <w:bookmarkEnd w:id="9"/>
    <w:bookmarkEnd w:id="10"/>
    <w:bookmarkEnd w:id="11"/>
    <w:p w14:paraId="2A7D54D3" w14:textId="77777777" w:rsidR="00E66558" w:rsidRPr="00E27862" w:rsidRDefault="009D71E8" w:rsidP="00971283">
      <w:pPr>
        <w:rPr>
          <w:b/>
          <w:sz w:val="32"/>
          <w:szCs w:val="32"/>
        </w:rPr>
      </w:pPr>
      <w:r w:rsidRPr="00E27862">
        <w:rPr>
          <w:b/>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rsidP="00971283">
            <w:r w:rsidRPr="00E27862">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rsidP="00971283">
            <w:r w:rsidRPr="00E27862">
              <w:rPr>
                <w:b/>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E27862" w:rsidRDefault="009D71E8" w:rsidP="00971283">
            <w:r w:rsidRPr="00E27862">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0756B7CE" w:rsidR="00E66558" w:rsidRPr="00E27862" w:rsidRDefault="00CE1C5C" w:rsidP="00971283">
            <w:r>
              <w:t>£526</w:t>
            </w:r>
            <w:r w:rsidR="00107212">
              <w:t>28</w:t>
            </w:r>
          </w:p>
        </w:tc>
      </w:tr>
      <w:tr w:rsidR="00E27862" w:rsidRPr="00E27862"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Pr="00E27862" w:rsidRDefault="009D71E8" w:rsidP="00971283">
            <w:r w:rsidRPr="00E27862">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1CCDAD7A" w:rsidR="00E66558" w:rsidRPr="00E27862" w:rsidRDefault="00CE1C5C" w:rsidP="00971283">
            <w:r>
              <w:t>£</w:t>
            </w:r>
            <w:r w:rsidR="00CE1A79">
              <w:t>0</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E27862" w:rsidRDefault="009D71E8" w:rsidP="00971283">
            <w:r w:rsidRPr="00E27862">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7428F903" w:rsidR="00E66558" w:rsidRPr="00E27862" w:rsidRDefault="00CE1C5C" w:rsidP="00971283">
            <w:r>
              <w:t>£</w:t>
            </w:r>
            <w:r w:rsidR="00107212">
              <w:t>8376</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E27862" w:rsidRDefault="009D71E8" w:rsidP="00971283">
            <w:pPr>
              <w:rPr>
                <w:b/>
              </w:rPr>
            </w:pPr>
            <w:r w:rsidRPr="00E27862">
              <w:rPr>
                <w:b/>
              </w:rPr>
              <w:t>Total budget for this academic year</w:t>
            </w:r>
          </w:p>
          <w:p w14:paraId="2A7D54E1" w14:textId="77777777" w:rsidR="00E66558" w:rsidRPr="00E27862" w:rsidRDefault="009D71E8" w:rsidP="00971283">
            <w:r w:rsidRPr="00E27862">
              <w:lastRenderedPageBreak/>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1513592E" w:rsidR="00E66558" w:rsidRPr="00E27862" w:rsidRDefault="00CE1C5C" w:rsidP="00971283">
            <w:r>
              <w:lastRenderedPageBreak/>
              <w:t>£</w:t>
            </w:r>
            <w:r w:rsidR="00D41C8D">
              <w:t>61004</w:t>
            </w:r>
          </w:p>
        </w:tc>
      </w:tr>
    </w:tbl>
    <w:p w14:paraId="0751AB06" w14:textId="77777777" w:rsidR="009F4A7D" w:rsidRDefault="009F4A7D" w:rsidP="00971283"/>
    <w:p w14:paraId="11A3E84B" w14:textId="77777777" w:rsidR="009F4A7D" w:rsidRDefault="009F4A7D" w:rsidP="00971283"/>
    <w:p w14:paraId="77E37B4D" w14:textId="77777777" w:rsidR="009F4A7D" w:rsidRDefault="009F4A7D" w:rsidP="00971283"/>
    <w:p w14:paraId="7090BD55" w14:textId="77777777" w:rsidR="009F4A7D" w:rsidRDefault="009F4A7D" w:rsidP="00971283"/>
    <w:p w14:paraId="2A7D54E4" w14:textId="6CFE3DAB" w:rsidR="00E66558" w:rsidRDefault="009D71E8" w:rsidP="00971283">
      <w:r>
        <w:t>Part A: Pupil premium strategy plan</w:t>
      </w:r>
    </w:p>
    <w:p w14:paraId="2A7D54E5" w14:textId="77777777" w:rsidR="00E66558" w:rsidRDefault="009D71E8" w:rsidP="00971283">
      <w:bookmarkStart w:id="12" w:name="_Toc357771640"/>
      <w:bookmarkStart w:id="1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C9A72" w14:textId="77777777" w:rsidR="00D62479" w:rsidRPr="00D62479" w:rsidRDefault="00D62479" w:rsidP="00971283">
            <w:pPr>
              <w:rPr>
                <w:rFonts w:cs="Arial"/>
                <w:b/>
                <w:iCs/>
                <w:color w:val="0070C0"/>
                <w:lang w:val="en-US"/>
              </w:rPr>
            </w:pPr>
          </w:p>
          <w:p w14:paraId="19BDF82F" w14:textId="77777777" w:rsidR="00D62479" w:rsidRPr="00D62479" w:rsidRDefault="00D62479" w:rsidP="00971283">
            <w:pPr>
              <w:rPr>
                <w:rFonts w:cs="Arial"/>
                <w:b/>
                <w:iCs/>
                <w:color w:val="0070C0"/>
                <w:lang w:val="en-US"/>
              </w:rPr>
            </w:pPr>
            <w:r w:rsidRPr="00D62479">
              <w:rPr>
                <w:rFonts w:cs="Arial"/>
                <w:b/>
                <w:iCs/>
                <w:color w:val="0070C0"/>
                <w:lang w:val="en-US"/>
              </w:rPr>
              <w:t>Attainment gap on entry to EYFS</w:t>
            </w:r>
          </w:p>
          <w:p w14:paraId="27E6E4CA" w14:textId="1BFB9A6E" w:rsidR="00D62479" w:rsidRPr="00D62479" w:rsidRDefault="00D62479" w:rsidP="00971283">
            <w:pPr>
              <w:rPr>
                <w:rFonts w:cs="Arial"/>
                <w:b/>
                <w:iCs/>
                <w:color w:val="0070C0"/>
                <w:lang w:val="en-US"/>
              </w:rPr>
            </w:pPr>
            <w:r w:rsidRPr="00D62479">
              <w:rPr>
                <w:rFonts w:cs="Arial"/>
                <w:iCs/>
                <w:noProof/>
                <w:color w:val="0070C0"/>
                <w:lang w:val="en-US"/>
              </w:rPr>
              <w:drawing>
                <wp:anchor distT="0" distB="0" distL="0" distR="0" simplePos="0" relativeHeight="251657216" behindDoc="1" locked="0" layoutInCell="1" allowOverlap="1" wp14:anchorId="58273276" wp14:editId="3AD55B9A">
                  <wp:simplePos x="0" y="0"/>
                  <wp:positionH relativeFrom="page">
                    <wp:posOffset>1826260</wp:posOffset>
                  </wp:positionH>
                  <wp:positionV relativeFrom="paragraph">
                    <wp:posOffset>310515</wp:posOffset>
                  </wp:positionV>
                  <wp:extent cx="287655" cy="979170"/>
                  <wp:effectExtent l="0" t="0" r="0" b="0"/>
                  <wp:wrapTopAndBottom/>
                  <wp:docPr id="210148575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 cy="979170"/>
                          </a:xfrm>
                          <a:prstGeom prst="rect">
                            <a:avLst/>
                          </a:prstGeom>
                          <a:noFill/>
                        </pic:spPr>
                      </pic:pic>
                    </a:graphicData>
                  </a:graphic>
                  <wp14:sizeRelH relativeFrom="page">
                    <wp14:pctWidth>0</wp14:pctWidth>
                  </wp14:sizeRelH>
                  <wp14:sizeRelV relativeFrom="page">
                    <wp14:pctHeight>0</wp14:pctHeight>
                  </wp14:sizeRelV>
                </wp:anchor>
              </w:drawing>
            </w:r>
            <w:r w:rsidRPr="00D62479">
              <w:rPr>
                <w:rFonts w:cs="Arial"/>
                <w:iCs/>
                <w:noProof/>
                <w:color w:val="0070C0"/>
                <w:lang w:val="en-US"/>
              </w:rPr>
              <w:drawing>
                <wp:anchor distT="0" distB="0" distL="0" distR="0" simplePos="0" relativeHeight="251661312" behindDoc="1" locked="0" layoutInCell="1" allowOverlap="1" wp14:anchorId="72C7C5CF" wp14:editId="705818CE">
                  <wp:simplePos x="0" y="0"/>
                  <wp:positionH relativeFrom="page">
                    <wp:posOffset>2201454</wp:posOffset>
                  </wp:positionH>
                  <wp:positionV relativeFrom="paragraph">
                    <wp:posOffset>308610</wp:posOffset>
                  </wp:positionV>
                  <wp:extent cx="1694815" cy="1056005"/>
                  <wp:effectExtent l="0" t="0" r="635" b="0"/>
                  <wp:wrapTopAndBottom/>
                  <wp:docPr id="81860396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4815" cy="1056005"/>
                          </a:xfrm>
                          <a:prstGeom prst="rect">
                            <a:avLst/>
                          </a:prstGeom>
                          <a:noFill/>
                        </pic:spPr>
                      </pic:pic>
                    </a:graphicData>
                  </a:graphic>
                  <wp14:sizeRelH relativeFrom="page">
                    <wp14:pctWidth>0</wp14:pctWidth>
                  </wp14:sizeRelH>
                  <wp14:sizeRelV relativeFrom="page">
                    <wp14:pctHeight>0</wp14:pctHeight>
                  </wp14:sizeRelV>
                </wp:anchor>
              </w:drawing>
            </w:r>
          </w:p>
          <w:p w14:paraId="5FE3D852" w14:textId="77777777" w:rsidR="00D62479" w:rsidRPr="00D62479" w:rsidRDefault="00D62479" w:rsidP="00971283">
            <w:pPr>
              <w:rPr>
                <w:rFonts w:cs="Arial"/>
                <w:b/>
                <w:iCs/>
                <w:color w:val="0070C0"/>
                <w:lang w:val="en-US"/>
              </w:rPr>
            </w:pPr>
          </w:p>
          <w:p w14:paraId="42EEB1CF" w14:textId="77777777" w:rsidR="00D62479" w:rsidRPr="00D62479" w:rsidRDefault="00D62479" w:rsidP="00971283">
            <w:pPr>
              <w:rPr>
                <w:rFonts w:cs="Arial"/>
                <w:b/>
                <w:iCs/>
                <w:color w:val="0070C0"/>
                <w:lang w:val="en-US"/>
              </w:rPr>
            </w:pPr>
            <w:r w:rsidRPr="00D62479">
              <w:rPr>
                <w:rFonts w:cs="Arial"/>
                <w:b/>
                <w:iCs/>
                <w:color w:val="0070C0"/>
                <w:lang w:val="en-US"/>
              </w:rPr>
              <w:t>Gap closed at the end of KS2</w:t>
            </w:r>
          </w:p>
          <w:p w14:paraId="5A281AE1" w14:textId="77777777" w:rsidR="00D62479" w:rsidRPr="00D62479" w:rsidRDefault="00D62479" w:rsidP="00971283">
            <w:pPr>
              <w:rPr>
                <w:rFonts w:cs="Arial"/>
                <w:b/>
                <w:iCs/>
                <w:color w:val="0070C0"/>
                <w:lang w:val="en-US"/>
              </w:rPr>
            </w:pPr>
          </w:p>
          <w:p w14:paraId="4F9C0AEB" w14:textId="3A3B5044" w:rsidR="00D62479" w:rsidRPr="00D62479" w:rsidRDefault="00D62479" w:rsidP="00971283">
            <w:pPr>
              <w:rPr>
                <w:rFonts w:cs="Arial"/>
                <w:iCs/>
                <w:color w:val="000000" w:themeColor="text1"/>
                <w:lang w:val="en-US"/>
              </w:rPr>
            </w:pPr>
            <w:r w:rsidRPr="00D62479">
              <w:rPr>
                <w:rFonts w:cs="Arial"/>
                <w:iCs/>
                <w:color w:val="000000" w:themeColor="text1"/>
                <w:lang w:val="en-US"/>
              </w:rPr>
              <w:t xml:space="preserve">At St </w:t>
            </w:r>
            <w:r w:rsidRPr="00F0450D">
              <w:rPr>
                <w:rFonts w:cs="Arial"/>
                <w:iCs/>
                <w:color w:val="000000" w:themeColor="text1"/>
                <w:lang w:val="en-US"/>
              </w:rPr>
              <w:t xml:space="preserve">Andrew’s CE J&amp;I </w:t>
            </w:r>
            <w:r w:rsidRPr="00D62479">
              <w:rPr>
                <w:rFonts w:cs="Arial"/>
                <w:iCs/>
                <w:color w:val="000000" w:themeColor="text1"/>
                <w:lang w:val="en-US"/>
              </w:rPr>
              <w:t>School, it is our intention that all our children make good progress and achieve high levels of attainment across all subject areas, irrespective of their background or the challenges they may face. Our pupil premium strategy is focused on how we can reduce the gap between disadvantaged pupils and their peers year on year to ensure all pupils are given the chance to achieve their true potential.</w:t>
            </w:r>
          </w:p>
          <w:p w14:paraId="4C58295D" w14:textId="09FD121B" w:rsidR="00D62479" w:rsidRPr="00D62479" w:rsidRDefault="00D62479" w:rsidP="00971283">
            <w:pPr>
              <w:rPr>
                <w:rFonts w:cs="Arial"/>
                <w:iCs/>
                <w:color w:val="000000" w:themeColor="text1"/>
                <w:lang w:val="en-US"/>
              </w:rPr>
            </w:pPr>
            <w:r w:rsidRPr="00D62479">
              <w:rPr>
                <w:rFonts w:cs="Arial"/>
                <w:iCs/>
                <w:color w:val="000000" w:themeColor="text1"/>
                <w:lang w:val="en-US"/>
              </w:rPr>
              <w:t>We carefully identify the challenges our disadvantaged children experience through robust diagnostic assessments (specific to elements of education as well as non-academic challenges), not relying on assumptions regarding the effects of disadvantage. This includes analysis of N</w:t>
            </w:r>
            <w:r w:rsidRPr="00F0450D">
              <w:rPr>
                <w:rFonts w:cs="Arial"/>
                <w:iCs/>
                <w:color w:val="000000" w:themeColor="text1"/>
                <w:lang w:val="en-US"/>
              </w:rPr>
              <w:t xml:space="preserve">FER </w:t>
            </w:r>
            <w:r w:rsidRPr="00D62479">
              <w:rPr>
                <w:rFonts w:cs="Arial"/>
                <w:iCs/>
                <w:color w:val="000000" w:themeColor="text1"/>
                <w:lang w:val="en-US"/>
              </w:rPr>
              <w:t>assessments, SDQ’s and WELLCOMM screening, as well as attendance data. We ensure we prioritise the ‘challenges’ our disadvantaged children experience and implement actions to address these. In addition to this, we focus on evidence from the EEF and other key research findings in relation to which interventions have the most impact.</w:t>
            </w:r>
          </w:p>
          <w:p w14:paraId="6D37A15C" w14:textId="77777777" w:rsidR="00D62479" w:rsidRPr="00D62479" w:rsidRDefault="00D62479" w:rsidP="00971283">
            <w:pPr>
              <w:rPr>
                <w:rFonts w:cs="Arial"/>
                <w:iCs/>
                <w:color w:val="000000" w:themeColor="text1"/>
                <w:lang w:val="en-US"/>
              </w:rPr>
            </w:pPr>
            <w:r w:rsidRPr="00D62479">
              <w:rPr>
                <w:rFonts w:cs="Arial"/>
                <w:iCs/>
                <w:color w:val="000000" w:themeColor="text1"/>
                <w:lang w:val="en-US"/>
              </w:rPr>
              <w:lastRenderedPageBreak/>
              <w:t>This includes elements of metacognition, high quality feedback, learning for mastery, reading comprehension and emotional intelligence. Our actions are measurable and the impact of these are monitored closely.</w:t>
            </w:r>
          </w:p>
          <w:p w14:paraId="0A3638B1" w14:textId="77777777" w:rsidR="00D62479" w:rsidRPr="00D62479" w:rsidRDefault="00D62479" w:rsidP="00971283">
            <w:pPr>
              <w:rPr>
                <w:rFonts w:cs="Arial"/>
                <w:iCs/>
                <w:color w:val="000000" w:themeColor="text1"/>
                <w:lang w:val="en-US"/>
              </w:rPr>
            </w:pPr>
            <w:r w:rsidRPr="00D62479">
              <w:rPr>
                <w:rFonts w:cs="Arial"/>
                <w:iCs/>
                <w:color w:val="000000" w:themeColor="text1"/>
                <w:lang w:val="en-US"/>
              </w:rPr>
              <w:t>Our strategy plan links closely with our school development plan and sports premium. We adopt the three-tier approach in which we prioritise high quality teaching and learning for all. Within this, we invest greatly in high quality CPD for all staff. Targeted Interventions are carefully planned for in-light of children’s needs, including speech and language, reading and writing, and maths support. We also invest in wider strategies to support aspects of physical and mental wellbeing in addition to attendance.</w:t>
            </w:r>
          </w:p>
          <w:p w14:paraId="1ED010B5" w14:textId="77777777" w:rsidR="00D62479" w:rsidRPr="00D62479" w:rsidRDefault="00D62479" w:rsidP="00971283">
            <w:pPr>
              <w:rPr>
                <w:rFonts w:cs="Arial"/>
                <w:b/>
                <w:iCs/>
                <w:color w:val="000000" w:themeColor="text1"/>
                <w:lang w:val="en-US"/>
              </w:rPr>
            </w:pPr>
            <w:r w:rsidRPr="00D62479">
              <w:rPr>
                <w:rFonts w:cs="Arial"/>
                <w:b/>
                <w:iCs/>
                <w:color w:val="000000" w:themeColor="text1"/>
                <w:lang w:val="en-US"/>
              </w:rPr>
              <w:t>Our ultimate objectives are:</w:t>
            </w:r>
          </w:p>
          <w:p w14:paraId="6D2C0818" w14:textId="77777777" w:rsidR="00D62479" w:rsidRPr="00F0450D" w:rsidRDefault="00D62479" w:rsidP="00971283">
            <w:pPr>
              <w:rPr>
                <w:rFonts w:cs="Arial"/>
                <w:iCs/>
                <w:color w:val="000000" w:themeColor="text1"/>
                <w:lang w:val="en-US"/>
              </w:rPr>
            </w:pPr>
            <w:r w:rsidRPr="00F0450D">
              <w:rPr>
                <w:rFonts w:cs="Arial"/>
                <w:iCs/>
                <w:color w:val="000000" w:themeColor="text1"/>
                <w:lang w:val="en-US"/>
              </w:rPr>
              <w:t>To ensure disadvantaged pupils are challenged in the work that they are set;</w:t>
            </w:r>
          </w:p>
          <w:p w14:paraId="3A8D11E7" w14:textId="5B447AE8" w:rsidR="00D62479" w:rsidRPr="00F0450D" w:rsidRDefault="00D62479" w:rsidP="00971283">
            <w:pPr>
              <w:rPr>
                <w:rFonts w:cs="Arial"/>
                <w:iCs/>
                <w:color w:val="000000" w:themeColor="text1"/>
                <w:lang w:val="en-US"/>
              </w:rPr>
            </w:pPr>
            <w:r w:rsidRPr="00F0450D">
              <w:rPr>
                <w:rFonts w:cs="Arial"/>
                <w:iCs/>
                <w:color w:val="000000" w:themeColor="text1"/>
                <w:lang w:val="en-US"/>
              </w:rPr>
              <w:t>To act early to intervene at the point need is identified;</w:t>
            </w:r>
          </w:p>
          <w:p w14:paraId="50F4940C" w14:textId="77777777" w:rsidR="00D62479" w:rsidRPr="00F0450D" w:rsidRDefault="00D62479" w:rsidP="00971283">
            <w:pPr>
              <w:rPr>
                <w:rFonts w:cs="Arial"/>
                <w:iCs/>
                <w:color w:val="000000" w:themeColor="text1"/>
                <w:lang w:val="en-US"/>
              </w:rPr>
            </w:pPr>
            <w:r w:rsidRPr="00F0450D">
              <w:rPr>
                <w:rFonts w:cs="Arial"/>
                <w:iCs/>
                <w:color w:val="000000" w:themeColor="text1"/>
                <w:lang w:val="en-US"/>
              </w:rPr>
              <w:t>To adopt a whole school approach in which all staff take responsibility for disadvantaged pupils’ out-comes and raise expectations of what they can achieve;</w:t>
            </w:r>
          </w:p>
          <w:p w14:paraId="04E90969" w14:textId="77777777" w:rsidR="00D62479" w:rsidRPr="00F0450D" w:rsidRDefault="00D62479" w:rsidP="00971283">
            <w:pPr>
              <w:rPr>
                <w:rFonts w:cs="Arial"/>
                <w:b/>
                <w:iCs/>
                <w:color w:val="000000" w:themeColor="text1"/>
                <w:lang w:val="en-US"/>
              </w:rPr>
            </w:pPr>
            <w:r w:rsidRPr="00D62479">
              <w:rPr>
                <w:rFonts w:cs="Arial"/>
                <w:b/>
                <w:iCs/>
                <w:color w:val="000000" w:themeColor="text1"/>
                <w:lang w:val="en-US"/>
              </w:rPr>
              <w:t>We currently:</w:t>
            </w:r>
          </w:p>
          <w:p w14:paraId="2AF4E594" w14:textId="1FCFE09F" w:rsidR="00D62479" w:rsidRPr="00F0450D" w:rsidRDefault="00D62479" w:rsidP="00971283">
            <w:pPr>
              <w:rPr>
                <w:rFonts w:cs="Arial"/>
                <w:b/>
                <w:iCs/>
                <w:color w:val="000000" w:themeColor="text1"/>
                <w:lang w:val="en-US"/>
              </w:rPr>
            </w:pPr>
            <w:r w:rsidRPr="00F0450D">
              <w:rPr>
                <w:rFonts w:cs="Arial"/>
                <w:iCs/>
                <w:color w:val="000000" w:themeColor="text1"/>
                <w:lang w:val="en-US"/>
              </w:rPr>
              <w:t>Provide staff with CPD for interventions to be run with targeted groups of children.</w:t>
            </w:r>
          </w:p>
          <w:p w14:paraId="1018262D" w14:textId="77777777" w:rsidR="00D62479" w:rsidRPr="00F0450D" w:rsidRDefault="00D62479" w:rsidP="00971283">
            <w:pPr>
              <w:rPr>
                <w:rFonts w:cs="Arial"/>
                <w:iCs/>
                <w:color w:val="000000" w:themeColor="text1"/>
                <w:lang w:val="en-US"/>
              </w:rPr>
            </w:pPr>
            <w:r w:rsidRPr="00F0450D">
              <w:rPr>
                <w:rFonts w:cs="Arial"/>
                <w:iCs/>
                <w:color w:val="000000" w:themeColor="text1"/>
                <w:lang w:val="en-US"/>
              </w:rPr>
              <w:t>We fund breakfast and afterschool clubs for target pupils.</w:t>
            </w:r>
          </w:p>
          <w:p w14:paraId="097D43CC" w14:textId="77777777" w:rsidR="00D62479" w:rsidRPr="00F0450D" w:rsidRDefault="00D62479" w:rsidP="00971283">
            <w:pPr>
              <w:rPr>
                <w:rFonts w:cs="Arial"/>
                <w:iCs/>
                <w:color w:val="000000" w:themeColor="text1"/>
                <w:lang w:val="en-US"/>
              </w:rPr>
            </w:pPr>
            <w:r w:rsidRPr="00F0450D">
              <w:rPr>
                <w:rFonts w:cs="Arial"/>
                <w:iCs/>
                <w:color w:val="000000" w:themeColor="text1"/>
                <w:lang w:val="en-US"/>
              </w:rPr>
              <w:t>We subsidise educational visits, workshops and residential trips.</w:t>
            </w:r>
          </w:p>
          <w:p w14:paraId="259EAC79" w14:textId="6C0677B6" w:rsidR="00D62479" w:rsidRPr="00F0450D" w:rsidRDefault="00D62479" w:rsidP="00971283">
            <w:pPr>
              <w:rPr>
                <w:rFonts w:cs="Arial"/>
                <w:iCs/>
                <w:color w:val="000000" w:themeColor="text1"/>
                <w:lang w:val="en-US"/>
              </w:rPr>
            </w:pPr>
            <w:r w:rsidRPr="00F0450D">
              <w:rPr>
                <w:rFonts w:cs="Arial"/>
                <w:iCs/>
                <w:color w:val="000000" w:themeColor="text1"/>
                <w:lang w:val="en-US"/>
              </w:rPr>
              <w:t>We use our CAMHS link worker, in school pastoral support, in addition to a Wigan Family Welfare Counsellor to provide targeted interventions to enable the whole child to succeed not only academically but physically and mentally.</w:t>
            </w:r>
          </w:p>
          <w:p w14:paraId="0D31ED79" w14:textId="20E6A554" w:rsidR="00D62479" w:rsidRPr="00F0450D" w:rsidRDefault="00D62479" w:rsidP="00971283">
            <w:pPr>
              <w:rPr>
                <w:rFonts w:cs="Arial"/>
                <w:iCs/>
                <w:color w:val="000000" w:themeColor="text1"/>
                <w:lang w:val="en-US"/>
              </w:rPr>
            </w:pPr>
            <w:r w:rsidRPr="00F0450D">
              <w:rPr>
                <w:rFonts w:cs="Arial"/>
                <w:iCs/>
                <w:color w:val="000000" w:themeColor="text1"/>
                <w:lang w:val="en-US"/>
              </w:rPr>
              <w:t>We provide 1-1 music tuition and specific resources so children have the opportunity to learn an instrument if they wish.</w:t>
            </w:r>
          </w:p>
          <w:p w14:paraId="2A7D54E9" w14:textId="52B4695D" w:rsidR="008C6667" w:rsidRPr="00C009DA" w:rsidRDefault="008C6667" w:rsidP="00971283">
            <w:pPr>
              <w:rPr>
                <w:rFonts w:cs="Arial"/>
                <w:iCs/>
                <w:color w:val="0070C0"/>
                <w:lang w:val="en-US"/>
              </w:rPr>
            </w:pPr>
          </w:p>
        </w:tc>
      </w:tr>
    </w:tbl>
    <w:p w14:paraId="148DBA03" w14:textId="77777777" w:rsidR="006E1AF6" w:rsidRDefault="006E1AF6" w:rsidP="00971283"/>
    <w:p w14:paraId="3DDE81A8" w14:textId="77777777" w:rsidR="00CE1A79" w:rsidRDefault="00CE1A79" w:rsidP="00971283"/>
    <w:p w14:paraId="2C3D865F" w14:textId="77777777" w:rsidR="00D62479" w:rsidRDefault="00D62479" w:rsidP="00971283"/>
    <w:p w14:paraId="19D674DD" w14:textId="77777777" w:rsidR="00D62479" w:rsidRDefault="00D62479" w:rsidP="00971283"/>
    <w:p w14:paraId="72DC945C" w14:textId="77777777" w:rsidR="00D62479" w:rsidRDefault="00D62479" w:rsidP="00971283"/>
    <w:p w14:paraId="01FD2823" w14:textId="77777777" w:rsidR="009F4A7D" w:rsidRDefault="009F4A7D" w:rsidP="00971283"/>
    <w:p w14:paraId="2A7D54EB" w14:textId="75568186" w:rsidR="00E66558" w:rsidRDefault="009D71E8" w:rsidP="00971283">
      <w:r>
        <w:lastRenderedPageBreak/>
        <w:t>Challenges</w:t>
      </w:r>
    </w:p>
    <w:p w14:paraId="2A7D54EC" w14:textId="77777777" w:rsidR="00E66558" w:rsidRDefault="009D71E8" w:rsidP="00971283">
      <w:r>
        <w:t>This details the key challenges to achievement that we have identified among our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rsidP="00971283">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rsidP="00971283">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rsidP="00971283">
            <w:pPr>
              <w:rPr>
                <w:sz w:val="22"/>
                <w:szCs w:val="22"/>
              </w:rPr>
            </w:pPr>
            <w:r w:rsidRPr="00DD41CD">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760E2A23" w:rsidR="00E66558" w:rsidRPr="00E27862" w:rsidRDefault="00A8078A" w:rsidP="00971283">
            <w:pPr>
              <w:rPr>
                <w:rFonts w:cs="Arial"/>
                <w:iCs/>
                <w:lang w:val="en-US"/>
              </w:rPr>
            </w:pPr>
            <w:r>
              <w:rPr>
                <w:rFonts w:cs="Arial"/>
                <w:iCs/>
                <w:lang w:val="en-US"/>
              </w:rPr>
              <w:t xml:space="preserve">Greater number of children experiencing social, emotional and mental </w:t>
            </w:r>
            <w:r w:rsidR="00C94419">
              <w:rPr>
                <w:rFonts w:cs="Arial"/>
                <w:iCs/>
                <w:lang w:val="en-US"/>
              </w:rPr>
              <w:t xml:space="preserve">health </w:t>
            </w:r>
            <w:r>
              <w:rPr>
                <w:rFonts w:cs="Arial"/>
                <w:iCs/>
                <w:lang w:val="en-US"/>
              </w:rPr>
              <w:t xml:space="preserve">difficulties. </w:t>
            </w:r>
            <w:r>
              <w:t>(50%</w:t>
            </w:r>
            <w:r>
              <w:rPr>
                <w:spacing w:val="-3"/>
              </w:rPr>
              <w:t xml:space="preserve"> </w:t>
            </w:r>
            <w:r>
              <w:t>of</w:t>
            </w:r>
            <w:r>
              <w:rPr>
                <w:spacing w:val="-3"/>
              </w:rPr>
              <w:t xml:space="preserve"> </w:t>
            </w:r>
            <w:r>
              <w:t>our</w:t>
            </w:r>
            <w:r>
              <w:rPr>
                <w:spacing w:val="-5"/>
              </w:rPr>
              <w:t xml:space="preserve"> </w:t>
            </w:r>
            <w:r>
              <w:t>SEND</w:t>
            </w:r>
            <w:r>
              <w:rPr>
                <w:spacing w:val="-3"/>
              </w:rPr>
              <w:t xml:space="preserve"> </w:t>
            </w:r>
            <w:r>
              <w:t>children</w:t>
            </w:r>
            <w:r>
              <w:rPr>
                <w:spacing w:val="-3"/>
              </w:rPr>
              <w:t xml:space="preserve"> </w:t>
            </w:r>
            <w:r>
              <w:t>identified</w:t>
            </w:r>
            <w:r>
              <w:rPr>
                <w:spacing w:val="-3"/>
              </w:rPr>
              <w:t xml:space="preserve"> </w:t>
            </w:r>
            <w:r>
              <w:t>as</w:t>
            </w:r>
            <w:r>
              <w:rPr>
                <w:spacing w:val="-5"/>
              </w:rPr>
              <w:t xml:space="preserve"> </w:t>
            </w:r>
            <w:r>
              <w:t>having</w:t>
            </w:r>
            <w:r>
              <w:rPr>
                <w:spacing w:val="-3"/>
              </w:rPr>
              <w:t xml:space="preserve"> </w:t>
            </w:r>
            <w:r>
              <w:t>a</w:t>
            </w:r>
            <w:r>
              <w:rPr>
                <w:spacing w:val="-2"/>
              </w:rPr>
              <w:t xml:space="preserve"> </w:t>
            </w:r>
            <w:r>
              <w:t>primary</w:t>
            </w:r>
            <w:r>
              <w:rPr>
                <w:spacing w:val="-6"/>
              </w:rPr>
              <w:t xml:space="preserve"> </w:t>
            </w:r>
            <w:r>
              <w:t>SEMH</w:t>
            </w:r>
            <w:r>
              <w:rPr>
                <w:spacing w:val="-3"/>
              </w:rPr>
              <w:t xml:space="preserve"> </w:t>
            </w:r>
            <w:r>
              <w:t>need</w:t>
            </w:r>
            <w:r>
              <w:rPr>
                <w:spacing w:val="-3"/>
              </w:rPr>
              <w:t xml:space="preserve"> </w:t>
            </w:r>
            <w:r>
              <w:t>are</w:t>
            </w:r>
            <w:r>
              <w:rPr>
                <w:spacing w:val="-5"/>
              </w:rPr>
              <w:t xml:space="preserve"> </w:t>
            </w:r>
            <w:r>
              <w:t xml:space="preserve">also </w:t>
            </w:r>
            <w:r>
              <w:rPr>
                <w:spacing w:val="-2"/>
              </w:rPr>
              <w:t>disadvantaged</w:t>
            </w:r>
            <w:r w:rsidR="00C55565">
              <w:rPr>
                <w:spacing w:val="-2"/>
              </w:rPr>
              <w:t>).</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Pr="003253F8" w:rsidRDefault="009D71E8" w:rsidP="00971283">
            <w:pPr>
              <w:rPr>
                <w:sz w:val="22"/>
                <w:szCs w:val="22"/>
              </w:rPr>
            </w:pPr>
            <w:r w:rsidRPr="003253F8">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35589F62" w:rsidR="00E66558" w:rsidRPr="00DF4701" w:rsidRDefault="007B6FA0" w:rsidP="00971283">
            <w:pPr>
              <w:rPr>
                <w:lang w:val="en-US"/>
              </w:rPr>
            </w:pPr>
            <w:r>
              <w:rPr>
                <w:lang w:val="en-US"/>
              </w:rPr>
              <w:t>Gaps in reading, writing, maths and phonics between disadvantaged and non-disadvantaged.</w:t>
            </w:r>
          </w:p>
        </w:tc>
      </w:tr>
      <w:tr w:rsidR="00BB56CA"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BE8EB" w14:textId="24959B0F" w:rsidR="00BB56CA" w:rsidRPr="00DD41CD" w:rsidRDefault="00E039E4" w:rsidP="00971283">
            <w:pPr>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362A7" w14:textId="05EEFBA7" w:rsidR="00AB4DFD" w:rsidRPr="00E27862" w:rsidRDefault="00C55565" w:rsidP="00971283">
            <w:pPr>
              <w:rPr>
                <w:iCs/>
                <w:lang w:val="en-US"/>
              </w:rPr>
            </w:pPr>
            <w:r>
              <w:t>O</w:t>
            </w:r>
            <w:r w:rsidR="00CF30A4">
              <w:t xml:space="preserve">bservations and discussions indicate that the </w:t>
            </w:r>
            <w:r w:rsidR="00A8078A">
              <w:t xml:space="preserve">structure of maths lessons </w:t>
            </w:r>
            <w:r w:rsidR="00CF30A4">
              <w:t>is</w:t>
            </w:r>
            <w:r w:rsidR="00CF30A4">
              <w:rPr>
                <w:spacing w:val="-3"/>
              </w:rPr>
              <w:t xml:space="preserve"> </w:t>
            </w:r>
            <w:r w:rsidR="00CF30A4">
              <w:t>inconsistent.</w:t>
            </w:r>
            <w:r w:rsidR="00CF30A4">
              <w:rPr>
                <w:spacing w:val="-3"/>
              </w:rPr>
              <w:t xml:space="preserve"> </w:t>
            </w:r>
            <w:r w:rsidR="00CF30A4">
              <w:t>This</w:t>
            </w:r>
            <w:r w:rsidR="00CF30A4">
              <w:rPr>
                <w:spacing w:val="-3"/>
              </w:rPr>
              <w:t xml:space="preserve"> </w:t>
            </w:r>
            <w:r w:rsidR="00CF30A4">
              <w:t>has resulted in</w:t>
            </w:r>
            <w:r w:rsidR="00CF30A4">
              <w:rPr>
                <w:spacing w:val="-2"/>
              </w:rPr>
              <w:t xml:space="preserve"> </w:t>
            </w:r>
            <w:r>
              <w:rPr>
                <w:spacing w:val="-2"/>
              </w:rPr>
              <w:t xml:space="preserve">cognitive overload for disadvantaged pupils </w:t>
            </w:r>
            <w:r w:rsidR="00CF30A4">
              <w:t>and</w:t>
            </w:r>
            <w:r w:rsidR="00CF30A4">
              <w:rPr>
                <w:spacing w:val="-2"/>
              </w:rPr>
              <w:t xml:space="preserve"> </w:t>
            </w:r>
            <w:r>
              <w:rPr>
                <w:spacing w:val="-2"/>
              </w:rPr>
              <w:t>has</w:t>
            </w:r>
            <w:r w:rsidR="00CF30A4">
              <w:t xml:space="preserve"> impact</w:t>
            </w:r>
            <w:r>
              <w:t>ed</w:t>
            </w:r>
            <w:r w:rsidR="00CF30A4">
              <w:t xml:space="preserve"> </w:t>
            </w:r>
            <w:r>
              <w:t xml:space="preserve">maths </w:t>
            </w:r>
            <w:r w:rsidR="00CF30A4">
              <w:t xml:space="preserve">outcomes. </w:t>
            </w:r>
          </w:p>
        </w:tc>
      </w:tr>
      <w:tr w:rsidR="00E66558"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E60B9DD" w:rsidR="00E66558" w:rsidRDefault="00E039E4" w:rsidP="00971283">
            <w:pPr>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174BB079" w:rsidR="006E102E" w:rsidRPr="00E27862" w:rsidRDefault="00EC5269" w:rsidP="00971283">
            <w:pPr>
              <w:rPr>
                <w:rFonts w:cs="Arial"/>
              </w:rPr>
            </w:pPr>
            <w:r w:rsidRPr="00EC5269">
              <w:rPr>
                <w:rFonts w:cs="Arial"/>
              </w:rPr>
              <w:t>Speech and language - Pupils’ pre-literacy skills: observations, interactions with pupils and baseline language assessments on entry to the EYFS suggest lower levels of oracy, receptive and expressive vocabulary among many of our disadvantaged cohort.</w:t>
            </w:r>
          </w:p>
        </w:tc>
      </w:tr>
      <w:tr w:rsidR="00E66558"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B428685" w:rsidR="00E66558" w:rsidRPr="00380251" w:rsidRDefault="00E039E4" w:rsidP="00971283">
            <w:pPr>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1AF85718" w:rsidR="00660FD3" w:rsidRPr="00C22438" w:rsidRDefault="00EC5269" w:rsidP="00971283">
            <w:pPr>
              <w:rPr>
                <w:rFonts w:cs="Arial"/>
                <w:iCs/>
                <w:lang w:val="en-US"/>
              </w:rPr>
            </w:pPr>
            <w:r w:rsidRPr="00EC5269">
              <w:rPr>
                <w:rFonts w:cs="Arial"/>
                <w:iCs/>
              </w:rPr>
              <w:t>Knowledge of our community reveals that some of our pupils, specifically those who are disadvantaged have limited experiences and wider knowledge/awareness of the world beyond their immediate local community which has a negative impact on accessing the whole curriculum.</w:t>
            </w:r>
          </w:p>
        </w:tc>
      </w:tr>
      <w:tr w:rsidR="007118DD" w:rsidRPr="00B87E35" w14:paraId="49F86BC3"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BBDA1" w14:textId="34447224" w:rsidR="007118DD" w:rsidRDefault="00E039E4" w:rsidP="00971283">
            <w:pPr>
              <w:rPr>
                <w:sz w:val="22"/>
                <w:szCs w:val="22"/>
              </w:rPr>
            </w:pPr>
            <w:bookmarkStart w:id="14" w:name="_Toc443397160"/>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44499" w14:textId="7BCE1ED5" w:rsidR="00B92D62" w:rsidRPr="00E27862" w:rsidRDefault="00CF30A4" w:rsidP="00971283">
            <w:pPr>
              <w:rPr>
                <w:rFonts w:cs="Arial"/>
                <w:iCs/>
                <w:lang w:val="en-US"/>
              </w:rPr>
            </w:pPr>
            <w:r>
              <w:t>Our attendance data for the 202</w:t>
            </w:r>
            <w:r w:rsidR="00D41C8D">
              <w:t>4</w:t>
            </w:r>
            <w:r>
              <w:t>/2</w:t>
            </w:r>
            <w:r w:rsidR="00D41C8D">
              <w:t>5</w:t>
            </w:r>
            <w:r>
              <w:t xml:space="preserve"> year shows that disadvantaged pupils had lower attendance rates compared to their non-disadvantaged peers, with PP attendance at 9</w:t>
            </w:r>
            <w:r w:rsidR="00D41C8D">
              <w:t>3.2</w:t>
            </w:r>
            <w:r>
              <w:t>% compared to 95.</w:t>
            </w:r>
            <w:r w:rsidR="00D41C8D">
              <w:t>1</w:t>
            </w:r>
            <w:r>
              <w:t xml:space="preserve">% for non-PP pupils. Additionally, </w:t>
            </w:r>
            <w:r w:rsidR="00D41C8D">
              <w:t>25</w:t>
            </w:r>
            <w:r>
              <w:t>% of persistently</w:t>
            </w:r>
            <w:r>
              <w:rPr>
                <w:spacing w:val="-8"/>
              </w:rPr>
              <w:t xml:space="preserve"> </w:t>
            </w:r>
            <w:r>
              <w:t>absent</w:t>
            </w:r>
            <w:r>
              <w:rPr>
                <w:spacing w:val="-7"/>
              </w:rPr>
              <w:t xml:space="preserve"> </w:t>
            </w:r>
            <w:r>
              <w:t>pupils</w:t>
            </w:r>
            <w:r>
              <w:rPr>
                <w:spacing w:val="-5"/>
              </w:rPr>
              <w:t xml:space="preserve"> </w:t>
            </w:r>
            <w:r>
              <w:t>are</w:t>
            </w:r>
            <w:r>
              <w:rPr>
                <w:spacing w:val="-5"/>
              </w:rPr>
              <w:t xml:space="preserve"> </w:t>
            </w:r>
            <w:r>
              <w:t>disadvantaged,</w:t>
            </w:r>
            <w:r>
              <w:rPr>
                <w:spacing w:val="-5"/>
              </w:rPr>
              <w:t xml:space="preserve"> </w:t>
            </w:r>
            <w:r>
              <w:t>meaning</w:t>
            </w:r>
            <w:r>
              <w:rPr>
                <w:spacing w:val="-6"/>
              </w:rPr>
              <w:t xml:space="preserve"> </w:t>
            </w:r>
            <w:r>
              <w:t>absenteeism</w:t>
            </w:r>
            <w:r>
              <w:rPr>
                <w:spacing w:val="-4"/>
              </w:rPr>
              <w:t xml:space="preserve"> </w:t>
            </w:r>
            <w:r>
              <w:t>continues</w:t>
            </w:r>
            <w:r>
              <w:rPr>
                <w:spacing w:val="-5"/>
              </w:rPr>
              <w:t xml:space="preserve"> </w:t>
            </w:r>
            <w:r>
              <w:t>to have a negative impact on the progress of disadvantaged students.</w:t>
            </w:r>
            <w:r w:rsidR="001C1862">
              <w:t xml:space="preserve">  36% of our pupils marked as late are pupil premium.</w:t>
            </w:r>
          </w:p>
        </w:tc>
      </w:tr>
    </w:tbl>
    <w:p w14:paraId="35C6CD72" w14:textId="77777777" w:rsidR="00E01485" w:rsidRDefault="00E01485" w:rsidP="00971283"/>
    <w:p w14:paraId="3213EBC1" w14:textId="77777777" w:rsidR="009F4A7D" w:rsidRDefault="009F4A7D" w:rsidP="00971283"/>
    <w:p w14:paraId="07375C65" w14:textId="77777777" w:rsidR="009F4A7D" w:rsidRDefault="009F4A7D" w:rsidP="00971283"/>
    <w:p w14:paraId="67825D45" w14:textId="77777777" w:rsidR="001F7D28" w:rsidRDefault="001F7D28" w:rsidP="00971283"/>
    <w:p w14:paraId="4FBC5188" w14:textId="77777777" w:rsidR="001F7D28" w:rsidRDefault="001F7D28" w:rsidP="00971283"/>
    <w:p w14:paraId="2A7D54FF" w14:textId="0F411B2D" w:rsidR="00E66558" w:rsidRDefault="009D71E8" w:rsidP="00971283">
      <w:r>
        <w:lastRenderedPageBreak/>
        <w:t xml:space="preserve">Intended outcomes </w:t>
      </w:r>
    </w:p>
    <w:p w14:paraId="2A7D5500" w14:textId="77777777" w:rsidR="00E66558" w:rsidRDefault="009D71E8" w:rsidP="00971283">
      <w:r>
        <w:t xml:space="preserve">This explains the outcomes we are aiming for </w:t>
      </w:r>
      <w:r>
        <w:rPr>
          <w:b/>
        </w:rPr>
        <w:t>by the end of our current strategy plan</w:t>
      </w:r>
      <w: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rsidP="00971283">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rsidP="00971283">
            <w:r>
              <w:t>Success criteria</w:t>
            </w:r>
          </w:p>
        </w:tc>
      </w:tr>
      <w:tr w:rsidR="00E66558"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203D85FA" w:rsidR="00451A23" w:rsidRPr="0086147E" w:rsidRDefault="0086147E" w:rsidP="00971283">
            <w:pPr>
              <w:rPr>
                <w:rFonts w:cs="Arial"/>
              </w:rPr>
            </w:pPr>
            <w:r w:rsidRPr="0086147E">
              <w:rPr>
                <w:rFonts w:cs="Arial"/>
              </w:rPr>
              <w:t>To reduce the gap between PP and Non PP</w:t>
            </w:r>
            <w:r>
              <w:rPr>
                <w:rFonts w:cs="Arial"/>
              </w:rPr>
              <w:t xml:space="preserve"> </w:t>
            </w:r>
            <w:r w:rsidRPr="0086147E">
              <w:rPr>
                <w:rFonts w:cs="Arial"/>
              </w:rPr>
              <w:t>children who meet the national expectations.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5" w14:textId="79140A1A" w:rsidR="00C863B9" w:rsidRPr="00E27862" w:rsidRDefault="0086147E" w:rsidP="00971283">
            <w:pPr>
              <w:rPr>
                <w:rFonts w:cs="Arial"/>
              </w:rPr>
            </w:pPr>
            <w:r w:rsidRPr="0086147E">
              <w:rPr>
                <w:rFonts w:cs="Arial"/>
              </w:rPr>
              <w:t>The gap between PP and non-PP children who meet age related expectations is reduced.</w:t>
            </w:r>
          </w:p>
        </w:tc>
      </w:tr>
      <w:tr w:rsidR="00E66558"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4FC21A73" w:rsidR="00CB316E" w:rsidRPr="00E27862" w:rsidRDefault="0086147E" w:rsidP="00971283">
            <w:pPr>
              <w:rPr>
                <w:rFonts w:cs="Arial"/>
              </w:rPr>
            </w:pPr>
            <w:r>
              <w:rPr>
                <w:rFonts w:cs="Arial"/>
              </w:rPr>
              <w:t>Disadvantaged children will continue to achieve a high score at the end of KS2.</w:t>
            </w:r>
            <w:r w:rsidR="00CB316E" w:rsidRPr="00E27862">
              <w:rPr>
                <w:rFonts w:cs="Arial"/>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B" w14:textId="05A0D69E" w:rsidR="00A564D2" w:rsidRPr="00E27862" w:rsidRDefault="0086147E" w:rsidP="00971283">
            <w:pPr>
              <w:rPr>
                <w:rFonts w:cs="Arial"/>
                <w:lang w:eastAsia="en-US"/>
              </w:rPr>
            </w:pPr>
            <w:r>
              <w:rPr>
                <w:rFonts w:cs="Arial"/>
                <w:lang w:eastAsia="en-US"/>
              </w:rPr>
              <w:t>Children across KS2 who are eligible for PP will continue to achieve a high score in Reading, Writing and Maths.</w:t>
            </w:r>
          </w:p>
        </w:tc>
      </w:tr>
      <w:tr w:rsidR="00B17E61" w14:paraId="118A844E"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EE947" w14:textId="2616F4DC" w:rsidR="00B17E61" w:rsidRPr="00D41C8D" w:rsidRDefault="00D41C8D" w:rsidP="00971283">
            <w:r>
              <w:t>Improved</w:t>
            </w:r>
            <w:r>
              <w:rPr>
                <w:spacing w:val="-17"/>
              </w:rPr>
              <w:t xml:space="preserve"> </w:t>
            </w:r>
            <w:r>
              <w:t>phonics</w:t>
            </w:r>
            <w:r>
              <w:rPr>
                <w:spacing w:val="-17"/>
              </w:rPr>
              <w:t xml:space="preserve"> </w:t>
            </w:r>
            <w:r>
              <w:t>a</w:t>
            </w:r>
            <w:r w:rsidR="001C1862">
              <w:t>p</w:t>
            </w:r>
            <w:r>
              <w:t>plication</w:t>
            </w:r>
            <w:r w:rsidR="00E01485">
              <w:t xml:space="preserve">/spelling </w:t>
            </w:r>
            <w:r>
              <w:t>for disadvantaged pupils by the end of KS2.</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83D75" w14:textId="4F6427CE" w:rsidR="00B17E61" w:rsidRPr="00E27862" w:rsidRDefault="00E01485" w:rsidP="00971283">
            <w:pPr>
              <w:rPr>
                <w:rFonts w:cs="Arial"/>
                <w:lang w:eastAsia="en-US"/>
              </w:rPr>
            </w:pPr>
            <w:r>
              <w:t>Phonics and s</w:t>
            </w:r>
            <w:r w:rsidR="00D41C8D">
              <w:t>pelling</w:t>
            </w:r>
            <w:r w:rsidR="00D41C8D">
              <w:rPr>
                <w:spacing w:val="-7"/>
              </w:rPr>
              <w:t xml:space="preserve"> </w:t>
            </w:r>
            <w:r w:rsidR="00D41C8D">
              <w:t>outcomes</w:t>
            </w:r>
            <w:r w:rsidR="00D41C8D">
              <w:rPr>
                <w:spacing w:val="-7"/>
              </w:rPr>
              <w:t xml:space="preserve"> </w:t>
            </w:r>
            <w:r w:rsidR="00D41C8D">
              <w:t>improve</w:t>
            </w:r>
            <w:r w:rsidR="00D41C8D">
              <w:rPr>
                <w:spacing w:val="-7"/>
              </w:rPr>
              <w:t xml:space="preserve"> </w:t>
            </w:r>
            <w:r w:rsidR="00D41C8D">
              <w:t>annually,</w:t>
            </w:r>
            <w:r w:rsidR="00D41C8D">
              <w:rPr>
                <w:spacing w:val="-4"/>
              </w:rPr>
              <w:t xml:space="preserve"> </w:t>
            </w:r>
            <w:r w:rsidR="00D41C8D">
              <w:t>with</w:t>
            </w:r>
            <w:r w:rsidR="00D41C8D">
              <w:rPr>
                <w:spacing w:val="-7"/>
              </w:rPr>
              <w:t xml:space="preserve"> </w:t>
            </w:r>
            <w:r w:rsidR="00D41C8D">
              <w:t>disadvantaged</w:t>
            </w:r>
            <w:r w:rsidR="00D41C8D">
              <w:rPr>
                <w:spacing w:val="-8"/>
              </w:rPr>
              <w:t xml:space="preserve"> </w:t>
            </w:r>
            <w:r w:rsidR="00D41C8D">
              <w:t xml:space="preserve">pupils consistently applying spelling rules in line with age-related expectations by 2026/27. </w:t>
            </w:r>
            <w:r w:rsidR="00464606">
              <w:t>R</w:t>
            </w:r>
            <w:r w:rsidR="00D41C8D">
              <w:t>esults will show more disadvantaged pupils meeting the expected standard, reducing the gap between them and their non-disadvantaged peers.</w:t>
            </w:r>
          </w:p>
        </w:tc>
      </w:tr>
      <w:tr w:rsidR="00F62A08" w:rsidRPr="00B32FF3"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1BF86" w14:textId="5E1A4DC3" w:rsidR="00F62A08" w:rsidRPr="00E27862" w:rsidRDefault="00F62A08" w:rsidP="00971283">
            <w:pPr>
              <w:rPr>
                <w:rFonts w:cs="Arial"/>
              </w:rPr>
            </w:pPr>
            <w:r w:rsidRPr="00E27862">
              <w:rPr>
                <w:rFonts w:cs="Arial"/>
              </w:rPr>
              <w:t>T</w:t>
            </w:r>
            <w:r w:rsidR="007558E6">
              <w:rPr>
                <w:rFonts w:cs="Arial"/>
              </w:rPr>
              <w:t>he pastoral needs of disadvantaged pupils are supported effectively including behaviour, attendance, well-being, and social, emotional and mental health.</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1BD75" w14:textId="3B14D607" w:rsidR="007558E6" w:rsidRDefault="007558E6" w:rsidP="00971283">
            <w:r>
              <w:t>Children have greater access to wider curriculum opportunities.</w:t>
            </w:r>
          </w:p>
          <w:p w14:paraId="6C085367" w14:textId="77777777" w:rsidR="007558E6" w:rsidRDefault="007558E6" w:rsidP="00971283"/>
          <w:p w14:paraId="11DD0246" w14:textId="05F1B248" w:rsidR="007558E6" w:rsidRDefault="007558E6" w:rsidP="00971283">
            <w:r>
              <w:t>Parents and children feel well supported.</w:t>
            </w:r>
          </w:p>
          <w:p w14:paraId="57DD69DC" w14:textId="77777777" w:rsidR="007558E6" w:rsidRDefault="007558E6" w:rsidP="00971283"/>
          <w:p w14:paraId="13A437D5" w14:textId="08DB5735" w:rsidR="007558E6" w:rsidRDefault="007558E6" w:rsidP="00971283">
            <w:r>
              <w:t>The basic needs of the children are met when starting the school day.</w:t>
            </w:r>
          </w:p>
          <w:p w14:paraId="4CC38E01" w14:textId="77777777" w:rsidR="007558E6" w:rsidRDefault="007558E6" w:rsidP="00971283"/>
          <w:p w14:paraId="74C393D6" w14:textId="2E2FECEB" w:rsidR="007558E6" w:rsidRPr="00464606" w:rsidRDefault="007558E6" w:rsidP="00971283">
            <w:pPr>
              <w:rPr>
                <w:rFonts w:cs="Arial"/>
              </w:rPr>
            </w:pPr>
            <w:r>
              <w:t>Boxhall profiles show improvements in the children’s social, emotional and mental health after receiving specific support.</w:t>
            </w:r>
          </w:p>
          <w:p w14:paraId="0C4D3CFE" w14:textId="3930A3EE" w:rsidR="00B50646" w:rsidRPr="00464606" w:rsidRDefault="00B50646" w:rsidP="00971283">
            <w:pPr>
              <w:rPr>
                <w:rFonts w:cs="Arial"/>
              </w:rPr>
            </w:pPr>
          </w:p>
        </w:tc>
      </w:tr>
      <w:tr w:rsidR="00175C89" w:rsidRPr="00B32FF3"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B9C95" w14:textId="2503C460" w:rsidR="00175C89" w:rsidRPr="00E27862" w:rsidRDefault="00E01412" w:rsidP="00971283">
            <w:pPr>
              <w:rPr>
                <w:rFonts w:cs="Arial"/>
              </w:rPr>
            </w:pPr>
            <w:r w:rsidRPr="00E27862">
              <w:rPr>
                <w:rFonts w:cs="Arial"/>
              </w:rPr>
              <w:t xml:space="preserve">To achieve and sustain improved attendance for all pupils, </w:t>
            </w:r>
            <w:r w:rsidR="00C829A3" w:rsidRPr="00E27862">
              <w:rPr>
                <w:rFonts w:cs="Arial"/>
              </w:rPr>
              <w:t>particularly</w:t>
            </w:r>
            <w:r w:rsidRPr="00E27862">
              <w:rPr>
                <w:rFonts w:cs="Arial"/>
              </w:rPr>
              <w:t xml:space="preserve"> </w:t>
            </w:r>
            <w:r w:rsidRPr="00E27862">
              <w:rPr>
                <w:rFonts w:cs="Arial"/>
              </w:rPr>
              <w:lastRenderedPageBreak/>
              <w:t xml:space="preserve">our disadvantaged </w:t>
            </w:r>
            <w:r w:rsidR="002A637D" w:rsidRPr="00E27862">
              <w:rPr>
                <w:rFonts w:cs="Arial"/>
              </w:rPr>
              <w:t>pupils</w:t>
            </w:r>
            <w:r w:rsidR="00212A8E" w:rsidRPr="00E27862">
              <w:rPr>
                <w:rFonts w:cs="Arial"/>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2EE59" w14:textId="46D80ECE" w:rsidR="002C53A2" w:rsidRPr="00E27862" w:rsidRDefault="00464606" w:rsidP="00971283">
            <w:pPr>
              <w:rPr>
                <w:rFonts w:cs="Arial"/>
              </w:rPr>
            </w:pPr>
            <w:r>
              <w:lastRenderedPageBreak/>
              <w:t>Attendance rates will improve, and the gap between disadvantaged</w:t>
            </w:r>
            <w:r>
              <w:rPr>
                <w:spacing w:val="-10"/>
              </w:rPr>
              <w:t xml:space="preserve"> </w:t>
            </w:r>
            <w:r>
              <w:t>and</w:t>
            </w:r>
            <w:r>
              <w:rPr>
                <w:spacing w:val="-8"/>
              </w:rPr>
              <w:t xml:space="preserve"> </w:t>
            </w:r>
            <w:r>
              <w:t>non-disadvantaged</w:t>
            </w:r>
            <w:r>
              <w:rPr>
                <w:spacing w:val="-10"/>
              </w:rPr>
              <w:t xml:space="preserve"> </w:t>
            </w:r>
            <w:r>
              <w:t>attendance</w:t>
            </w:r>
            <w:r>
              <w:rPr>
                <w:spacing w:val="-8"/>
              </w:rPr>
              <w:t xml:space="preserve"> </w:t>
            </w:r>
            <w:r>
              <w:t>rates</w:t>
            </w:r>
            <w:r>
              <w:rPr>
                <w:spacing w:val="-10"/>
              </w:rPr>
              <w:t xml:space="preserve"> </w:t>
            </w:r>
            <w:r>
              <w:t xml:space="preserve">will </w:t>
            </w:r>
            <w:r>
              <w:lastRenderedPageBreak/>
              <w:t>have narrowed by 2026/27 including those identified as persistently absent.</w:t>
            </w:r>
          </w:p>
        </w:tc>
      </w:tr>
    </w:tbl>
    <w:p w14:paraId="19C3FD94" w14:textId="77777777" w:rsidR="009F4A7D" w:rsidRDefault="009F4A7D" w:rsidP="00971283"/>
    <w:p w14:paraId="5830ABE3" w14:textId="77777777" w:rsidR="009F4A7D" w:rsidRDefault="009F4A7D" w:rsidP="00971283"/>
    <w:p w14:paraId="2A7D5512" w14:textId="7FAF4FD5" w:rsidR="00E66558" w:rsidRDefault="009D71E8" w:rsidP="00971283">
      <w:r>
        <w:t>Activity in this academic year</w:t>
      </w:r>
    </w:p>
    <w:p w14:paraId="2A7D5513" w14:textId="77777777" w:rsidR="00E66558" w:rsidRDefault="009D71E8" w:rsidP="00971283">
      <w:r>
        <w:t xml:space="preserve">This details how we intend to spend our pupil premium (and recovery premium funding) </w:t>
      </w:r>
      <w:r>
        <w:rPr>
          <w:b/>
        </w:rPr>
        <w:t>this academic year</w:t>
      </w:r>
      <w:r>
        <w:t xml:space="preserve"> to address the challenges listed above.</w:t>
      </w:r>
    </w:p>
    <w:p w14:paraId="2A7D5515" w14:textId="56DABC0A" w:rsidR="00E66558" w:rsidRPr="00971283" w:rsidRDefault="009D71E8" w:rsidP="00971283">
      <w:r w:rsidRPr="00971283">
        <w:t>Teaching (for example, CPD, recruitment and retention</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E66558" w14:paraId="2A7D5519"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rsidP="00971283">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rsidP="00971283">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rsidP="00971283">
            <w:r>
              <w:t>Challenge number(s) addressed</w:t>
            </w:r>
          </w:p>
        </w:tc>
      </w:tr>
      <w:tr w:rsidR="0015621F" w14:paraId="4C091B95"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5BD9" w14:textId="457A3AFA" w:rsidR="0015621F" w:rsidRPr="00E27862" w:rsidRDefault="009F4A7D" w:rsidP="00971283">
            <w:pPr>
              <w:rPr>
                <w:rFonts w:cs="Arial"/>
                <w:iCs/>
              </w:rPr>
            </w:pPr>
            <w:r>
              <w:rPr>
                <w:rFonts w:cs="Arial"/>
                <w:iCs/>
                <w:lang w:val="en-US"/>
              </w:rPr>
              <w:t>Staff CPD on using WellComm to ensure early identification of speech and language difficulties</w:t>
            </w:r>
            <w:r w:rsidR="002E59ED">
              <w:rPr>
                <w:rFonts w:cs="Arial"/>
                <w:iCs/>
                <w:lang w:val="en-US"/>
              </w:rPr>
              <w:t xml:space="preserve"> and interventions put into place.</w:t>
            </w:r>
            <w:r>
              <w:rPr>
                <w:rFonts w:cs="Arial"/>
                <w:iCs/>
                <w:lang w:val="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362F5" w14:textId="77777777" w:rsidR="00075AD3" w:rsidRPr="00E27862" w:rsidRDefault="00075AD3" w:rsidP="00971283">
            <w:pPr>
              <w:rPr>
                <w:rFonts w:cs="Arial"/>
              </w:rPr>
            </w:pPr>
            <w:r w:rsidRPr="00E27862">
              <w:rPr>
                <w:rFonts w:cs="Arial"/>
              </w:rPr>
              <w:t>Oral language interventions can have a positive impact on pupils’ language skills. Approaches that focus on speaking, listening and a combination of the two show positive impacts on attainment:</w:t>
            </w:r>
          </w:p>
          <w:p w14:paraId="58D828BE" w14:textId="77777777" w:rsidR="00075AD3" w:rsidRPr="000106A2" w:rsidRDefault="00075AD3" w:rsidP="00971283">
            <w:pPr>
              <w:rPr>
                <w:color w:val="0070C0"/>
              </w:rPr>
            </w:pPr>
            <w:hyperlink r:id="rId13" w:history="1">
              <w:r w:rsidRPr="000106A2">
                <w:rPr>
                  <w:color w:val="0070C0"/>
                  <w:u w:val="single"/>
                </w:rPr>
                <w:t>Oral language interventions | EEF (educationendowmentfoundation.org.uk)</w:t>
              </w:r>
            </w:hyperlink>
          </w:p>
          <w:p w14:paraId="59E476D0" w14:textId="072F8CE0" w:rsidR="001F198D" w:rsidRPr="00E27862" w:rsidRDefault="001F198D" w:rsidP="00971283">
            <w:pPr>
              <w:rPr>
                <w:rFonts w:cs="Arial"/>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EE161" w14:textId="758BE73D" w:rsidR="0015621F" w:rsidRPr="00E27862" w:rsidRDefault="00880A4D" w:rsidP="00971283">
            <w:r>
              <w:t>4</w:t>
            </w:r>
          </w:p>
        </w:tc>
      </w:tr>
      <w:tr w:rsidR="00075AD3" w14:paraId="17313BB0"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96F3B" w14:textId="2CDE07A7" w:rsidR="00075AD3" w:rsidRDefault="00075AD3" w:rsidP="00971283">
            <w:pPr>
              <w:rPr>
                <w:rFonts w:cs="Arial"/>
                <w:iCs/>
                <w:lang w:val="en-US"/>
              </w:rPr>
            </w:pPr>
            <w:r>
              <w:rPr>
                <w:rFonts w:cs="Arial"/>
                <w:iCs/>
                <w:lang w:val="en-US"/>
              </w:rPr>
              <w:t xml:space="preserve">CPD </w:t>
            </w:r>
            <w:r w:rsidR="002E59ED">
              <w:rPr>
                <w:rFonts w:cs="Arial"/>
                <w:iCs/>
                <w:lang w:val="en-US"/>
              </w:rPr>
              <w:t xml:space="preserve">to support </w:t>
            </w:r>
            <w:r w:rsidR="007B6FA0">
              <w:rPr>
                <w:rFonts w:cs="Arial"/>
                <w:iCs/>
                <w:lang w:val="en-US"/>
              </w:rPr>
              <w:t>r</w:t>
            </w:r>
            <w:r>
              <w:rPr>
                <w:rFonts w:cs="Arial"/>
                <w:iCs/>
                <w:lang w:val="en-US"/>
              </w:rPr>
              <w:t xml:space="preserve">eading </w:t>
            </w:r>
            <w:r w:rsidR="00AC0B83">
              <w:rPr>
                <w:rFonts w:cs="Arial"/>
                <w:iCs/>
                <w:lang w:val="en-US"/>
              </w:rPr>
              <w:t>c</w:t>
            </w:r>
            <w:r>
              <w:rPr>
                <w:rFonts w:cs="Arial"/>
                <w:iCs/>
                <w:lang w:val="en-US"/>
              </w:rPr>
              <w:t>omprehension</w:t>
            </w:r>
            <w:r w:rsidR="007B6FA0">
              <w:rPr>
                <w:rFonts w:cs="Arial"/>
                <w:iCs/>
                <w:lang w:val="en-US"/>
              </w:rPr>
              <w:t>, w</w:t>
            </w:r>
            <w:r w:rsidR="00941C03">
              <w:rPr>
                <w:rFonts w:cs="Arial"/>
                <w:iCs/>
                <w:lang w:val="en-US"/>
              </w:rPr>
              <w:t xml:space="preserve">riting </w:t>
            </w:r>
            <w:r w:rsidR="00AC0B83">
              <w:rPr>
                <w:rFonts w:cs="Arial"/>
                <w:iCs/>
                <w:lang w:val="en-US"/>
              </w:rPr>
              <w:t>and phonics</w:t>
            </w:r>
            <w:r w:rsidR="00464606">
              <w:rPr>
                <w:rFonts w:cs="Arial"/>
                <w:iCs/>
                <w:lang w:val="en-US"/>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CF98F" w14:textId="1AFAE4C9" w:rsidR="00075AD3" w:rsidRPr="00E27862" w:rsidRDefault="00A1254A" w:rsidP="00971283">
            <w:pPr>
              <w:rPr>
                <w:rFonts w:cs="Arial"/>
              </w:rPr>
            </w:pPr>
            <w:r>
              <w:rPr>
                <w:rFonts w:cs="Arial"/>
              </w:rPr>
              <w:t>Continued CPD and collaboration across schools enhances professional inquiry and impacts positively on educational standards.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EC10F" w14:textId="10A375D6" w:rsidR="00075AD3" w:rsidRDefault="002E59ED" w:rsidP="00971283">
            <w:r>
              <w:t>2</w:t>
            </w:r>
            <w:r w:rsidR="00AC0B83">
              <w:t>, 4, 5</w:t>
            </w:r>
          </w:p>
        </w:tc>
      </w:tr>
      <w:tr w:rsidR="00D35EBE" w14:paraId="047042A4"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6074F" w14:textId="5526743F" w:rsidR="00AC0B83" w:rsidRPr="00E27862" w:rsidRDefault="00AC0B83" w:rsidP="00AC0B83">
            <w:pPr>
              <w:rPr>
                <w:rFonts w:cs="Arial"/>
                <w:iCs/>
              </w:rPr>
            </w:pPr>
            <w:r>
              <w:t>CPD and coaching from the Maths Hub to ensure a consistent lesson structure and CPD on Rosenshine’s principles to improve, develop and support classroom practice.</w:t>
            </w:r>
          </w:p>
          <w:p w14:paraId="6E8F3FDD" w14:textId="01AE1474" w:rsidR="00777F13" w:rsidRPr="00E27862" w:rsidRDefault="00777F13" w:rsidP="00971283">
            <w:pPr>
              <w:rPr>
                <w:rFonts w:cs="Arial"/>
                <w:i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B8FE" w14:textId="7BBB881B" w:rsidR="00AC0B83" w:rsidRDefault="00AC0B83" w:rsidP="00AC0B83">
            <w:pPr>
              <w:rPr>
                <w:rFonts w:cs="Arial"/>
                <w:iCs/>
              </w:rPr>
            </w:pPr>
            <w:r>
              <w:rPr>
                <w:rFonts w:cs="Arial"/>
                <w:iCs/>
              </w:rPr>
              <w:t>Lesson structures reinforce routines and scaffold learning.</w:t>
            </w:r>
          </w:p>
          <w:p w14:paraId="07032791" w14:textId="01033597" w:rsidR="00AC0B83" w:rsidRDefault="00AC0B83" w:rsidP="00AC0B83">
            <w:pPr>
              <w:rPr>
                <w:rFonts w:cs="Arial"/>
                <w:iCs/>
              </w:rPr>
            </w:pPr>
            <w:r>
              <w:rPr>
                <w:rFonts w:cs="Arial"/>
                <w:iCs/>
              </w:rPr>
              <w:t>Sequences of activities are planned to stimulate and maintain engagement by linking lessons to the learning focus.</w:t>
            </w:r>
          </w:p>
          <w:p w14:paraId="671B916F" w14:textId="00431DD2" w:rsidR="00AC0B83" w:rsidRDefault="00AC0B83" w:rsidP="00AC0B83">
            <w:pPr>
              <w:rPr>
                <w:rFonts w:cs="Arial"/>
                <w:iCs/>
              </w:rPr>
            </w:pPr>
            <w:r>
              <w:rPr>
                <w:rFonts w:cs="Arial"/>
                <w:iCs/>
              </w:rPr>
              <w:t>Teachers adopt explicit teaching practices which clearly show children what to do and how to do it.</w:t>
            </w:r>
          </w:p>
          <w:p w14:paraId="6DB5493C" w14:textId="2E5702EB" w:rsidR="00AC0B83" w:rsidRPr="00E27862" w:rsidRDefault="00AC0B83" w:rsidP="00AC0B83">
            <w:pPr>
              <w:rPr>
                <w:rFonts w:cs="Arial"/>
                <w:u w:val="single"/>
              </w:rPr>
            </w:pPr>
            <w:r>
              <w:rPr>
                <w:rFonts w:cs="Arial"/>
                <w:iCs/>
              </w:rPr>
              <w:lastRenderedPageBreak/>
              <w:t>Worked examples demonstrate the steps required to complete a task or solve a problem.</w:t>
            </w:r>
          </w:p>
          <w:p w14:paraId="0892004B" w14:textId="775C0E04" w:rsidR="006B5875" w:rsidRPr="00E27862" w:rsidRDefault="006B5875" w:rsidP="00971283">
            <w:pPr>
              <w:rPr>
                <w:rFonts w:cs="Arial"/>
                <w:u w:val="single"/>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1EC39" w14:textId="5E043EAB" w:rsidR="00D35EBE" w:rsidRPr="00E27862" w:rsidRDefault="0077187E" w:rsidP="00971283">
            <w:r w:rsidRPr="00E27862">
              <w:lastRenderedPageBreak/>
              <w:t>3</w:t>
            </w:r>
          </w:p>
        </w:tc>
      </w:tr>
      <w:tr w:rsidR="0015621F" w14:paraId="2C76C953"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AB488" w14:textId="22BDACB7" w:rsidR="00E64605" w:rsidRPr="00E27862" w:rsidRDefault="008659D0" w:rsidP="00971283">
            <w:pPr>
              <w:rPr>
                <w:rFonts w:cs="Arial"/>
                <w:iCs/>
                <w:lang w:val="en-US" w:eastAsia="en-US"/>
              </w:rPr>
            </w:pPr>
            <w:r>
              <w:rPr>
                <w:rFonts w:cs="Arial"/>
                <w:iCs/>
                <w:lang w:val="en-US" w:eastAsia="en-US"/>
              </w:rPr>
              <w:t xml:space="preserve">Further </w:t>
            </w:r>
            <w:r w:rsidR="00A1254A">
              <w:rPr>
                <w:rFonts w:cs="Arial"/>
                <w:iCs/>
                <w:lang w:val="en-US" w:eastAsia="en-US"/>
              </w:rPr>
              <w:t xml:space="preserve">members of staff will </w:t>
            </w:r>
            <w:r w:rsidR="00464606">
              <w:rPr>
                <w:rFonts w:cs="Arial"/>
                <w:iCs/>
                <w:lang w:val="en-US" w:eastAsia="en-US"/>
              </w:rPr>
              <w:t xml:space="preserve">be highlighted </w:t>
            </w:r>
            <w:r w:rsidR="00A1254A">
              <w:rPr>
                <w:rFonts w:cs="Arial"/>
                <w:iCs/>
                <w:lang w:val="en-US" w:eastAsia="en-US"/>
              </w:rPr>
              <w:t>to train for the Trauma-Informed Schools D</w:t>
            </w:r>
            <w:r w:rsidR="00A869A3">
              <w:rPr>
                <w:rFonts w:cs="Arial"/>
                <w:iCs/>
                <w:lang w:val="en-US" w:eastAsia="en-US"/>
              </w:rPr>
              <w:t>iploma. They will then support the continuing</w:t>
            </w:r>
            <w:r w:rsidR="005C4328">
              <w:rPr>
                <w:rFonts w:cs="Arial"/>
                <w:iCs/>
                <w:lang w:val="en-US" w:eastAsia="en-US"/>
              </w:rPr>
              <w:t xml:space="preserve"> whole staff training which will in turn positively impact upon our whole school ethos for PSHE which is already strong.</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96080" w14:textId="72DE3A29" w:rsidR="00704439" w:rsidRPr="00E27862" w:rsidRDefault="00704439" w:rsidP="00971283">
            <w:pPr>
              <w:rPr>
                <w:rFonts w:cs="Arial"/>
              </w:rPr>
            </w:pPr>
            <w:r w:rsidRPr="00E27862">
              <w:rPr>
                <w:rFonts w:cs="Arial"/>
              </w:rPr>
              <w:t>There is extensive evidence associating childhood social and emotional skills with improved outcomes at school and in later life (</w:t>
            </w:r>
            <w:r w:rsidR="00152206" w:rsidRPr="00E27862">
              <w:rPr>
                <w:rFonts w:cs="Arial"/>
              </w:rPr>
              <w:t>e.g.,</w:t>
            </w:r>
            <w:r w:rsidRPr="00E27862">
              <w:rPr>
                <w:rFonts w:cs="Arial"/>
              </w:rPr>
              <w:t xml:space="preserve"> improved academic performance, attitudes, behaviour and relationships</w:t>
            </w:r>
            <w:r w:rsidR="008A4B93" w:rsidRPr="00E27862">
              <w:rPr>
                <w:rFonts w:cs="Arial"/>
              </w:rPr>
              <w:t xml:space="preserve"> with peers</w:t>
            </w:r>
            <w:r w:rsidR="0048228B" w:rsidRPr="00E27862">
              <w:rPr>
                <w:rFonts w:cs="Arial"/>
              </w:rPr>
              <w:t>)</w:t>
            </w:r>
            <w:r w:rsidR="0016406A" w:rsidRPr="00E27862">
              <w:rPr>
                <w:rFonts w:cs="Arial"/>
              </w:rPr>
              <w:t>:</w:t>
            </w:r>
          </w:p>
          <w:p w14:paraId="406C7DAD" w14:textId="091DAF68" w:rsidR="004F3914" w:rsidRPr="00E27862" w:rsidRDefault="0016406A" w:rsidP="00971283">
            <w:hyperlink r:id="rId14" w:history="1">
              <w:r w:rsidRPr="000106A2">
                <w:rPr>
                  <w:color w:val="0070C0"/>
                  <w:u w:val="single"/>
                </w:rPr>
                <w:t>EEF_Social_and_Emotional_Learning.pdf(educationendowmentfoundation.org.uk)</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E3F80" w14:textId="4FBA2DC5" w:rsidR="0015621F" w:rsidRPr="00E27862" w:rsidRDefault="00D00AAB" w:rsidP="00971283">
            <w:pPr>
              <w:rPr>
                <w:highlight w:val="yellow"/>
              </w:rPr>
            </w:pPr>
            <w:r w:rsidRPr="00E27862">
              <w:t>5</w:t>
            </w:r>
          </w:p>
        </w:tc>
      </w:tr>
      <w:tr w:rsidR="0084084C" w14:paraId="3DE50E90"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808F" w14:textId="77777777" w:rsidR="0084084C" w:rsidRDefault="0084084C" w:rsidP="00971283">
            <w:r>
              <w:t>Further</w:t>
            </w:r>
            <w:r>
              <w:rPr>
                <w:spacing w:val="-8"/>
              </w:rPr>
              <w:t xml:space="preserve"> </w:t>
            </w:r>
            <w:r>
              <w:t>develop</w:t>
            </w:r>
            <w:r>
              <w:rPr>
                <w:spacing w:val="-8"/>
              </w:rPr>
              <w:t xml:space="preserve"> </w:t>
            </w:r>
            <w:r>
              <w:t>the</w:t>
            </w:r>
            <w:r>
              <w:rPr>
                <w:spacing w:val="-10"/>
              </w:rPr>
              <w:t xml:space="preserve"> </w:t>
            </w:r>
            <w:r>
              <w:t>maths curriculum in line with DfE and EEF guidance, incorporating</w:t>
            </w:r>
            <w:r>
              <w:rPr>
                <w:spacing w:val="-17"/>
              </w:rPr>
              <w:t xml:space="preserve"> </w:t>
            </w:r>
            <w:r>
              <w:t>insights</w:t>
            </w:r>
            <w:r>
              <w:rPr>
                <w:spacing w:val="-17"/>
              </w:rPr>
              <w:t xml:space="preserve"> </w:t>
            </w:r>
            <w:r>
              <w:t>from the recent Early Years curriculum review.</w:t>
            </w:r>
          </w:p>
          <w:p w14:paraId="388CA40C" w14:textId="77777777" w:rsidR="0084084C" w:rsidRDefault="0084084C" w:rsidP="00971283"/>
          <w:p w14:paraId="067E3FBF" w14:textId="77777777" w:rsidR="0084084C" w:rsidRDefault="0084084C" w:rsidP="00971283">
            <w:r>
              <w:t>Prioritise resources that focus</w:t>
            </w:r>
            <w:r>
              <w:rPr>
                <w:spacing w:val="-14"/>
              </w:rPr>
              <w:t xml:space="preserve"> </w:t>
            </w:r>
            <w:r>
              <w:t>on</w:t>
            </w:r>
            <w:r>
              <w:rPr>
                <w:spacing w:val="-12"/>
              </w:rPr>
              <w:t xml:space="preserve"> </w:t>
            </w:r>
            <w:r>
              <w:t>small,</w:t>
            </w:r>
            <w:r>
              <w:rPr>
                <w:spacing w:val="-12"/>
              </w:rPr>
              <w:t xml:space="preserve"> </w:t>
            </w:r>
            <w:r>
              <w:t>incremental steps to ensure consistent progress for all pupils.</w:t>
            </w:r>
          </w:p>
          <w:p w14:paraId="34603EA1" w14:textId="77777777" w:rsidR="0084084C" w:rsidRDefault="0084084C" w:rsidP="00971283"/>
          <w:p w14:paraId="6B4F81D3" w14:textId="77777777" w:rsidR="0084084C" w:rsidRDefault="0084084C" w:rsidP="00971283">
            <w:r>
              <w:t>Continue to embed the Mastering Number programme</w:t>
            </w:r>
            <w:r>
              <w:rPr>
                <w:spacing w:val="-12"/>
              </w:rPr>
              <w:t xml:space="preserve"> </w:t>
            </w:r>
            <w:r>
              <w:t>in</w:t>
            </w:r>
            <w:r>
              <w:rPr>
                <w:spacing w:val="-13"/>
              </w:rPr>
              <w:t xml:space="preserve"> </w:t>
            </w:r>
            <w:r>
              <w:t>Early</w:t>
            </w:r>
            <w:r>
              <w:rPr>
                <w:spacing w:val="-14"/>
              </w:rPr>
              <w:t xml:space="preserve"> </w:t>
            </w:r>
            <w:r>
              <w:t>Years and KS1.</w:t>
            </w:r>
          </w:p>
          <w:p w14:paraId="0234610B" w14:textId="77777777" w:rsidR="0084084C" w:rsidRDefault="0084084C" w:rsidP="00971283">
            <w:r>
              <w:t>Roll</w:t>
            </w:r>
            <w:r>
              <w:rPr>
                <w:spacing w:val="-9"/>
              </w:rPr>
              <w:t xml:space="preserve"> </w:t>
            </w:r>
            <w:r>
              <w:t>out</w:t>
            </w:r>
            <w:r>
              <w:rPr>
                <w:spacing w:val="-7"/>
              </w:rPr>
              <w:t xml:space="preserve"> </w:t>
            </w:r>
            <w:r>
              <w:t>Mastering</w:t>
            </w:r>
            <w:r>
              <w:rPr>
                <w:spacing w:val="-10"/>
              </w:rPr>
              <w:t xml:space="preserve"> </w:t>
            </w:r>
            <w:r>
              <w:t>Number</w:t>
            </w:r>
            <w:r>
              <w:rPr>
                <w:spacing w:val="-11"/>
              </w:rPr>
              <w:t xml:space="preserve"> </w:t>
            </w:r>
            <w:r>
              <w:t>at home for Reception and Key Stage One.</w:t>
            </w:r>
          </w:p>
          <w:p w14:paraId="226842CE" w14:textId="2E7B8670" w:rsidR="0084084C" w:rsidRDefault="0084084C" w:rsidP="00971283">
            <w:pPr>
              <w:rPr>
                <w:rFonts w:cs="Arial"/>
                <w:iCs/>
                <w:lang w:val="en-US" w:eastAsia="en-US"/>
              </w:rPr>
            </w:pPr>
            <w:r>
              <w:t>Allocate</w:t>
            </w:r>
            <w:r>
              <w:rPr>
                <w:spacing w:val="-8"/>
              </w:rPr>
              <w:t xml:space="preserve"> </w:t>
            </w:r>
            <w:r>
              <w:t>release</w:t>
            </w:r>
            <w:r>
              <w:rPr>
                <w:spacing w:val="-11"/>
              </w:rPr>
              <w:t xml:space="preserve"> </w:t>
            </w:r>
            <w:r>
              <w:t>time</w:t>
            </w:r>
            <w:r>
              <w:rPr>
                <w:spacing w:val="-11"/>
              </w:rPr>
              <w:t xml:space="preserve"> </w:t>
            </w:r>
            <w:r>
              <w:t>for</w:t>
            </w:r>
            <w:r>
              <w:rPr>
                <w:spacing w:val="-9"/>
              </w:rPr>
              <w:t xml:space="preserve"> </w:t>
            </w:r>
            <w:r>
              <w:t xml:space="preserve">the Primary Maths Specialist to </w:t>
            </w:r>
            <w:r>
              <w:lastRenderedPageBreak/>
              <w:t>lead TRGs for internal professional development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9AB2B" w14:textId="77777777" w:rsidR="0084084C" w:rsidRDefault="0084084C" w:rsidP="00971283">
            <w:r>
              <w:lastRenderedPageBreak/>
              <w:t>The DfE’s non-statutory guidance outlines a clear sequence for the primary maths curriculum,</w:t>
            </w:r>
            <w:r>
              <w:rPr>
                <w:spacing w:val="-13"/>
              </w:rPr>
              <w:t xml:space="preserve"> </w:t>
            </w:r>
            <w:r>
              <w:t>combining</w:t>
            </w:r>
            <w:r>
              <w:rPr>
                <w:spacing w:val="-16"/>
              </w:rPr>
              <w:t xml:space="preserve"> </w:t>
            </w:r>
            <w:r>
              <w:t>curriculum</w:t>
            </w:r>
            <w:r>
              <w:rPr>
                <w:spacing w:val="-12"/>
              </w:rPr>
              <w:t xml:space="preserve"> </w:t>
            </w:r>
            <w:r>
              <w:t>prioritisation with high-quality professional development and NCETM Primary Mastery PD materials.</w:t>
            </w:r>
          </w:p>
          <w:p w14:paraId="1438655E" w14:textId="77777777" w:rsidR="0084084C" w:rsidRDefault="0084084C" w:rsidP="00971283">
            <w:r>
              <w:t>The EEF emphasises the importance of professional development to enhance practitioners' knowledge of maths, children's development, and effective teaching. It also highlights that mastering early maths concepts</w:t>
            </w:r>
            <w:r>
              <w:rPr>
                <w:spacing w:val="-7"/>
              </w:rPr>
              <w:t xml:space="preserve"> </w:t>
            </w:r>
            <w:r>
              <w:t>requires</w:t>
            </w:r>
            <w:r>
              <w:rPr>
                <w:spacing w:val="-7"/>
              </w:rPr>
              <w:t xml:space="preserve"> </w:t>
            </w:r>
            <w:r>
              <w:t>time,</w:t>
            </w:r>
            <w:r>
              <w:rPr>
                <w:spacing w:val="-7"/>
              </w:rPr>
              <w:t xml:space="preserve"> </w:t>
            </w:r>
            <w:r>
              <w:t>with</w:t>
            </w:r>
            <w:r>
              <w:rPr>
                <w:spacing w:val="-7"/>
              </w:rPr>
              <w:t xml:space="preserve"> </w:t>
            </w:r>
            <w:r>
              <w:t>skills</w:t>
            </w:r>
            <w:r>
              <w:rPr>
                <w:spacing w:val="-7"/>
              </w:rPr>
              <w:t xml:space="preserve"> </w:t>
            </w:r>
            <w:r>
              <w:t>emerging</w:t>
            </w:r>
            <w:r>
              <w:rPr>
                <w:spacing w:val="-8"/>
              </w:rPr>
              <w:t xml:space="preserve"> </w:t>
            </w:r>
            <w:r>
              <w:t>in varying sequences, and that self-regulation and metacognitive skills are crucial for success in early mathematics.</w:t>
            </w:r>
          </w:p>
          <w:p w14:paraId="52958B55" w14:textId="77777777" w:rsidR="0084084C" w:rsidRDefault="0084084C" w:rsidP="00971283"/>
          <w:p w14:paraId="4E0F20F5" w14:textId="77777777" w:rsidR="0084084C" w:rsidRDefault="0084084C" w:rsidP="00971283">
            <w:hyperlink r:id="rId15">
              <w:r>
                <w:rPr>
                  <w:color w:val="0000FF"/>
                  <w:spacing w:val="-2"/>
                  <w:u w:val="single" w:color="0000FF"/>
                </w:rPr>
                <w:t>https://educationendowmentfoundation.org.uk</w:t>
              </w:r>
            </w:hyperlink>
          </w:p>
          <w:p w14:paraId="3570321E" w14:textId="77777777" w:rsidR="0084084C" w:rsidRDefault="0084084C" w:rsidP="00971283">
            <w:hyperlink r:id="rId16">
              <w:r>
                <w:rPr>
                  <w:color w:val="0000FF"/>
                  <w:spacing w:val="-2"/>
                  <w:u w:val="single" w:color="0000FF"/>
                </w:rPr>
                <w:t>/education-evidence/teaching-learning-</w:t>
              </w:r>
            </w:hyperlink>
            <w:hyperlink r:id="rId17">
              <w:r>
                <w:rPr>
                  <w:color w:val="0000FF"/>
                  <w:spacing w:val="-2"/>
                  <w:u w:val="single" w:color="0000FF"/>
                </w:rPr>
                <w:t>toolkit/mastery-learning</w:t>
              </w:r>
            </w:hyperlink>
          </w:p>
          <w:p w14:paraId="2C3F7DF2" w14:textId="77777777" w:rsidR="0084084C" w:rsidRDefault="0084084C" w:rsidP="00971283"/>
          <w:p w14:paraId="1ACF669D" w14:textId="77777777" w:rsidR="0084084C" w:rsidRDefault="0084084C" w:rsidP="00971283">
            <w:hyperlink r:id="rId18">
              <w:r>
                <w:rPr>
                  <w:color w:val="0000FF"/>
                  <w:spacing w:val="-2"/>
                  <w:u w:val="single" w:color="0000FF"/>
                </w:rPr>
                <w:t>https://educationendowmentfoundation.org.uk</w:t>
              </w:r>
            </w:hyperlink>
          </w:p>
          <w:p w14:paraId="14D7AC9C" w14:textId="21A04345" w:rsidR="0084084C" w:rsidRPr="00E27862" w:rsidRDefault="0084084C" w:rsidP="00971283">
            <w:pPr>
              <w:rPr>
                <w:rFonts w:cs="Arial"/>
              </w:rPr>
            </w:pPr>
            <w:hyperlink r:id="rId19">
              <w:r>
                <w:rPr>
                  <w:color w:val="0000FF"/>
                  <w:spacing w:val="-2"/>
                  <w:u w:val="single" w:color="0000FF"/>
                </w:rPr>
                <w:t>/education-evidence/guidance-reports/early-</w:t>
              </w:r>
            </w:hyperlink>
            <w:hyperlink r:id="rId20">
              <w:r>
                <w:rPr>
                  <w:color w:val="0000FF"/>
                  <w:spacing w:val="-2"/>
                  <w:u w:val="single" w:color="0000FF"/>
                </w:rPr>
                <w:t>maths</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592FF" w14:textId="6399C7F0" w:rsidR="0084084C" w:rsidRPr="00E27862" w:rsidRDefault="00A43306" w:rsidP="00971283">
            <w:r>
              <w:lastRenderedPageBreak/>
              <w:t>2, 3</w:t>
            </w:r>
          </w:p>
        </w:tc>
      </w:tr>
    </w:tbl>
    <w:p w14:paraId="2A7D5522" w14:textId="77777777" w:rsidR="00E66558" w:rsidRDefault="00E66558" w:rsidP="00971283"/>
    <w:p w14:paraId="2A7D5524" w14:textId="4435900D" w:rsidR="00E66558" w:rsidRPr="00A869A3" w:rsidRDefault="009D71E8" w:rsidP="00971283">
      <w:r>
        <w:t xml:space="preserve">Targeted academic support (for example, </w:t>
      </w:r>
      <w:r w:rsidR="00D33FE5">
        <w:t xml:space="preserve">tutoring, one-to-one support </w:t>
      </w:r>
      <w:r>
        <w:t xml:space="preserve">structured interventions) </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rsidP="00971283">
            <w: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rsidP="00971283">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rsidP="00971283">
            <w:r>
              <w:t>Challenge number(s) addressed</w:t>
            </w:r>
          </w:p>
        </w:tc>
      </w:tr>
      <w:tr w:rsidR="00B8060C" w14:paraId="5DBDFA5D" w14:textId="77777777" w:rsidTr="0054413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16D0" w14:textId="713ED2FC" w:rsidR="00B8060C" w:rsidRPr="00E27862" w:rsidRDefault="00A43306" w:rsidP="00971283">
            <w:pPr>
              <w:rPr>
                <w:rFonts w:cs="Arial"/>
                <w:iCs/>
                <w:lang w:val="en-US"/>
              </w:rPr>
            </w:pPr>
            <w:r>
              <w:rPr>
                <w:rFonts w:cs="Arial"/>
                <w:iCs/>
                <w:lang w:val="en-US"/>
              </w:rPr>
              <w:t>Target key year groups and identified disadvantaged pupils with 1:1/small groiup specialized interventions (Sounds-write, 1:1 reading, stronger foundations, WellComm, maths interventions).</w:t>
            </w:r>
          </w:p>
        </w:tc>
        <w:tc>
          <w:tcPr>
            <w:tcW w:w="4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B0E4B" w14:textId="77777777" w:rsidR="009350EC" w:rsidRDefault="00A43306" w:rsidP="00A43306">
            <w:r w:rsidRPr="00A43306">
              <w:t>Evidence suggests that schools should try and organise staff so that the pupils who struggle most have as much time with the teacher as others and that the needs of pupils are addressed, first and foremost, through high</w:t>
            </w:r>
            <w:r>
              <w:t xml:space="preserve"> </w:t>
            </w:r>
            <w:r w:rsidRPr="00A43306">
              <w:t xml:space="preserve">quality classroom teaching. Small group tuition is effective as it results in more focused teaching to pupils’ needs, additional feedback from the teacher and more sustained engagement from disadvantaged pupils.  Diagnostic assessment and teacher’s knowledge of pupils start points, misconceptions and next steps ensures that small group teaching is focused and targeted on pupils’ needs and effective. </w:t>
            </w:r>
          </w:p>
          <w:p w14:paraId="71401D76" w14:textId="77777777" w:rsidR="009350EC" w:rsidRDefault="00A43306" w:rsidP="00A43306">
            <w:r w:rsidRPr="00A43306">
              <w:t xml:space="preserve">Evidence:  </w:t>
            </w:r>
          </w:p>
          <w:p w14:paraId="626B5046" w14:textId="77777777" w:rsidR="009350EC" w:rsidRDefault="00A43306" w:rsidP="00A43306">
            <w:r w:rsidRPr="00A43306">
              <w:t xml:space="preserve">• EEF T&amp;L Toolkit – 1:1 tuition (+5 additional months progress)  </w:t>
            </w:r>
          </w:p>
          <w:p w14:paraId="1BD5DC55" w14:textId="77777777" w:rsidR="009350EC" w:rsidRDefault="00A43306" w:rsidP="00A43306">
            <w:r w:rsidRPr="00A43306">
              <w:t xml:space="preserve">• EEF T&amp;L Toolkit – Small Group Tuition (+4 additional months progress)  </w:t>
            </w:r>
          </w:p>
          <w:p w14:paraId="1F6FDCA7" w14:textId="77777777" w:rsidR="009350EC" w:rsidRDefault="00A43306" w:rsidP="00A43306">
            <w:r w:rsidRPr="00A43306">
              <w:t xml:space="preserve">• EEF T&amp;L Toolkit – Reading comprehension strategies (+6 additional months progress)  </w:t>
            </w:r>
          </w:p>
          <w:p w14:paraId="109C2CC4" w14:textId="76727142" w:rsidR="00A43306" w:rsidRPr="00E27862" w:rsidRDefault="00A43306" w:rsidP="00A43306">
            <w:r w:rsidRPr="00A43306">
              <w:lastRenderedPageBreak/>
              <w:t>• EEF Guidance Report ‘Maximizing the Impact o</w:t>
            </w:r>
            <w:r>
              <w:t>f TAs.</w:t>
            </w:r>
            <w:r w:rsidRPr="00E27862">
              <w:t xml:space="preserve"> </w:t>
            </w:r>
          </w:p>
          <w:p w14:paraId="5FCA18E8" w14:textId="3BCBA8A5" w:rsidR="0026462D" w:rsidRPr="00E27862" w:rsidRDefault="0026462D" w:rsidP="00971283"/>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52F9" w14:textId="7BF6B693" w:rsidR="00B8060C" w:rsidRPr="00295351" w:rsidRDefault="005153E1" w:rsidP="00971283">
            <w:pPr>
              <w:rPr>
                <w:szCs w:val="22"/>
              </w:rPr>
            </w:pPr>
            <w:r w:rsidRPr="00295351">
              <w:rPr>
                <w:szCs w:val="22"/>
              </w:rPr>
              <w:lastRenderedPageBreak/>
              <w:t>2</w:t>
            </w:r>
            <w:r w:rsidR="009350EC">
              <w:rPr>
                <w:szCs w:val="22"/>
              </w:rPr>
              <w:t>, 3, 4, 5</w:t>
            </w:r>
          </w:p>
        </w:tc>
      </w:tr>
      <w:tr w:rsidR="009350EC" w14:paraId="4C216FA1" w14:textId="77777777" w:rsidTr="0054413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6478" w14:textId="05F57047" w:rsidR="009350EC" w:rsidRDefault="009350EC" w:rsidP="00971283">
            <w:pPr>
              <w:rPr>
                <w:rFonts w:cs="Arial"/>
                <w:iCs/>
                <w:lang w:val="en-US"/>
              </w:rPr>
            </w:pPr>
            <w:r w:rsidRPr="009350EC">
              <w:rPr>
                <w:rFonts w:cs="Arial"/>
                <w:iCs/>
                <w:lang w:val="en-US"/>
              </w:rPr>
              <w:t>Continue to implement evidence-informed S&amp;L intervention - Well</w:t>
            </w:r>
            <w:r>
              <w:rPr>
                <w:rFonts w:cs="Arial"/>
                <w:iCs/>
                <w:lang w:val="en-US"/>
              </w:rPr>
              <w:t>C</w:t>
            </w:r>
            <w:r w:rsidRPr="009350EC">
              <w:rPr>
                <w:rFonts w:cs="Arial"/>
                <w:iCs/>
                <w:lang w:val="en-US"/>
              </w:rPr>
              <w:t>omm in Early Years to improve pupils’ oracy skills as a foundation for early reading and future life chances</w:t>
            </w:r>
          </w:p>
        </w:tc>
        <w:tc>
          <w:tcPr>
            <w:tcW w:w="4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1D5F" w14:textId="5C4F26A8" w:rsidR="009350EC" w:rsidRPr="00A43306" w:rsidRDefault="009350EC" w:rsidP="00A43306">
            <w:r w:rsidRPr="009350EC">
              <w:t>EEF - Communication and language approaches typically have very high impact and increase young children’s learning by up to 7 months.  It is recommended that as part of the implementation it is important to “Carefully match approaches with the needs of children – for example diagnosing whether a child is struggling with vocabulary or with social communication” – This is what the WELLCOMM diagnostic tool provides</w:t>
            </w:r>
            <w:r>
              <w:t>.</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48DD2" w14:textId="1107AAF1" w:rsidR="009350EC" w:rsidRPr="00295351" w:rsidRDefault="009350EC" w:rsidP="00971283">
            <w:pPr>
              <w:rPr>
                <w:szCs w:val="22"/>
              </w:rPr>
            </w:pPr>
            <w:r>
              <w:rPr>
                <w:szCs w:val="22"/>
              </w:rPr>
              <w:t>2, 4, 5</w:t>
            </w:r>
          </w:p>
        </w:tc>
      </w:tr>
      <w:tr w:rsidR="005153E1" w14:paraId="19EDD9EE" w14:textId="77777777" w:rsidTr="00DB6492">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1317" w14:textId="07253787" w:rsidR="005153E1" w:rsidRPr="00E27862" w:rsidRDefault="0084084C" w:rsidP="00971283">
            <w:pPr>
              <w:rPr>
                <w:rFonts w:cs="Arial"/>
                <w:iCs/>
                <w:lang w:val="en-US"/>
              </w:rPr>
            </w:pPr>
            <w:r>
              <w:t>Renewal of standardised diagnostic assessments – IDL,</w:t>
            </w:r>
            <w:r>
              <w:rPr>
                <w:spacing w:val="-7"/>
              </w:rPr>
              <w:t xml:space="preserve"> </w:t>
            </w:r>
            <w:r>
              <w:t>Ed</w:t>
            </w:r>
            <w:r>
              <w:rPr>
                <w:spacing w:val="-7"/>
              </w:rPr>
              <w:t xml:space="preserve"> </w:t>
            </w:r>
            <w:r>
              <w:t>Shed,</w:t>
            </w:r>
            <w:r>
              <w:rPr>
                <w:spacing w:val="-9"/>
              </w:rPr>
              <w:t xml:space="preserve"> </w:t>
            </w:r>
            <w:r>
              <w:t>NFER, Nessy</w:t>
            </w:r>
          </w:p>
        </w:tc>
        <w:tc>
          <w:tcPr>
            <w:tcW w:w="4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77647" w14:textId="77777777" w:rsidR="0084084C" w:rsidRDefault="007B323B" w:rsidP="00971283">
            <w:r w:rsidRPr="009A7AA4">
              <w:rPr>
                <w:color w:val="0070C0"/>
                <w:u w:val="single"/>
              </w:rPr>
              <w:t xml:space="preserve"> </w:t>
            </w:r>
            <w:r w:rsidR="0084084C">
              <w:t>When used effectively, diagnostic assessments can indicate areas for development</w:t>
            </w:r>
            <w:r w:rsidR="0084084C">
              <w:rPr>
                <w:spacing w:val="-10"/>
              </w:rPr>
              <w:t xml:space="preserve"> </w:t>
            </w:r>
            <w:r w:rsidR="0084084C">
              <w:t>for</w:t>
            </w:r>
            <w:r w:rsidR="0084084C">
              <w:rPr>
                <w:spacing w:val="-7"/>
              </w:rPr>
              <w:t xml:space="preserve"> </w:t>
            </w:r>
            <w:r w:rsidR="0084084C">
              <w:t>individual</w:t>
            </w:r>
            <w:r w:rsidR="0084084C">
              <w:rPr>
                <w:spacing w:val="-9"/>
              </w:rPr>
              <w:t xml:space="preserve"> </w:t>
            </w:r>
            <w:r w:rsidR="0084084C">
              <w:t>pupils,</w:t>
            </w:r>
            <w:r w:rsidR="0084084C">
              <w:rPr>
                <w:spacing w:val="-8"/>
              </w:rPr>
              <w:t xml:space="preserve"> </w:t>
            </w:r>
            <w:r w:rsidR="0084084C">
              <w:t>or</w:t>
            </w:r>
            <w:r w:rsidR="0084084C">
              <w:rPr>
                <w:spacing w:val="-7"/>
              </w:rPr>
              <w:t xml:space="preserve"> </w:t>
            </w:r>
            <w:r w:rsidR="0084084C">
              <w:t>across classes and year groups:</w:t>
            </w:r>
          </w:p>
          <w:p w14:paraId="26A14DB2" w14:textId="77777777" w:rsidR="0084084C" w:rsidRDefault="0084084C" w:rsidP="00971283"/>
          <w:p w14:paraId="152E7F95" w14:textId="77777777" w:rsidR="0084084C" w:rsidRDefault="0084084C" w:rsidP="00971283">
            <w:hyperlink r:id="rId21">
              <w:r>
                <w:rPr>
                  <w:color w:val="0000FF"/>
                  <w:u w:val="single" w:color="0000FF"/>
                </w:rPr>
                <w:t>Diagnostic assessment | EEF</w:t>
              </w:r>
            </w:hyperlink>
            <w:r>
              <w:rPr>
                <w:color w:val="0000FF"/>
                <w:u w:val="single" w:color="0000FF"/>
              </w:rPr>
              <w:t>:</w:t>
            </w:r>
            <w:r>
              <w:rPr>
                <w:color w:val="0000FF"/>
              </w:rPr>
              <w:t xml:space="preserve"> </w:t>
            </w:r>
            <w:hyperlink r:id="rId22">
              <w:r>
                <w:rPr>
                  <w:color w:val="0000FF"/>
                  <w:spacing w:val="-2"/>
                  <w:u w:val="single" w:color="0000FF"/>
                </w:rPr>
                <w:t>https://d2tic4wvo1iusb.cloudfront.net/producti</w:t>
              </w:r>
            </w:hyperlink>
            <w:r>
              <w:rPr>
                <w:color w:val="0000FF"/>
                <w:spacing w:val="-2"/>
              </w:rPr>
              <w:t xml:space="preserve"> </w:t>
            </w:r>
            <w:r>
              <w:rPr>
                <w:color w:val="0000FF"/>
                <w:spacing w:val="-2"/>
                <w:u w:val="single" w:color="0000FF"/>
              </w:rPr>
              <w:t>on/documents/news/Diagnostic_Assessment</w:t>
            </w:r>
          </w:p>
          <w:p w14:paraId="7E164B51" w14:textId="33E12968" w:rsidR="00A45684" w:rsidRPr="00E27862" w:rsidRDefault="0084084C" w:rsidP="00971283">
            <w:pPr>
              <w:rPr>
                <w:u w:val="single"/>
              </w:rPr>
            </w:pPr>
            <w:r>
              <w:rPr>
                <w:color w:val="0000FF"/>
                <w:spacing w:val="-2"/>
                <w:u w:val="single" w:color="0000FF"/>
              </w:rPr>
              <w:t>_Tool.pdf?v=1697619973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46D32" w14:textId="411C28E5" w:rsidR="005153E1" w:rsidRPr="00295351" w:rsidRDefault="009350EC" w:rsidP="00971283">
            <w:pPr>
              <w:rPr>
                <w:szCs w:val="22"/>
              </w:rPr>
            </w:pPr>
            <w:r>
              <w:rPr>
                <w:szCs w:val="22"/>
              </w:rPr>
              <w:t>2, 4</w:t>
            </w:r>
          </w:p>
        </w:tc>
      </w:tr>
      <w:tr w:rsidR="005756AD" w14:paraId="4D245F53" w14:textId="77777777" w:rsidTr="00DB6492">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E2C68" w14:textId="48221871" w:rsidR="005756AD" w:rsidRPr="00E27862" w:rsidRDefault="005756AD" w:rsidP="00971283">
            <w:pPr>
              <w:rPr>
                <w:rFonts w:cs="Arial"/>
                <w:iCs/>
                <w:lang w:val="en-US"/>
              </w:rPr>
            </w:pPr>
            <w:r>
              <w:rPr>
                <w:rFonts w:cs="Arial"/>
                <w:iCs/>
                <w:lang w:val="en-US"/>
              </w:rPr>
              <w:t xml:space="preserve">Timetabling of </w:t>
            </w:r>
            <w:r w:rsidR="009350EC">
              <w:rPr>
                <w:rFonts w:cs="Arial"/>
                <w:iCs/>
                <w:lang w:val="en-US"/>
              </w:rPr>
              <w:t>TAs</w:t>
            </w:r>
            <w:r>
              <w:rPr>
                <w:rFonts w:cs="Arial"/>
                <w:iCs/>
                <w:lang w:val="en-US"/>
              </w:rPr>
              <w:t xml:space="preserve"> to deliver high quality interventions to support </w:t>
            </w:r>
            <w:r w:rsidR="00941C03">
              <w:rPr>
                <w:rFonts w:cs="Arial"/>
                <w:iCs/>
                <w:lang w:val="en-US"/>
              </w:rPr>
              <w:t>Reading, Writing</w:t>
            </w:r>
            <w:r w:rsidR="009350EC">
              <w:rPr>
                <w:rFonts w:cs="Arial"/>
                <w:iCs/>
                <w:lang w:val="en-US"/>
              </w:rPr>
              <w:t>,</w:t>
            </w:r>
            <w:r>
              <w:rPr>
                <w:rFonts w:cs="Arial"/>
                <w:iCs/>
                <w:lang w:val="en-US"/>
              </w:rPr>
              <w:t xml:space="preserve"> </w:t>
            </w:r>
            <w:r w:rsidR="009350EC">
              <w:rPr>
                <w:rFonts w:cs="Arial"/>
                <w:iCs/>
                <w:lang w:val="en-US"/>
              </w:rPr>
              <w:t xml:space="preserve">Speech and Language </w:t>
            </w:r>
            <w:r>
              <w:rPr>
                <w:rFonts w:cs="Arial"/>
                <w:iCs/>
                <w:lang w:val="en-US"/>
              </w:rPr>
              <w:t>and Maths</w:t>
            </w:r>
            <w:r w:rsidR="009350EC">
              <w:rPr>
                <w:rFonts w:cs="Arial"/>
                <w:iCs/>
                <w:lang w:val="en-US"/>
              </w:rPr>
              <w:t>.</w:t>
            </w:r>
          </w:p>
        </w:tc>
        <w:tc>
          <w:tcPr>
            <w:tcW w:w="4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A8A0B" w14:textId="70635928" w:rsidR="005756AD" w:rsidRPr="00E27862" w:rsidRDefault="00941C03" w:rsidP="00971283">
            <w:hyperlink r:id="rId23" w:history="1">
              <w:r w:rsidRPr="009A7AA4">
                <w:rPr>
                  <w:color w:val="0070C0"/>
                  <w:u w:val="single"/>
                </w:rPr>
                <w:t>Small group tuition | Toolkit Strand | Education Endowment Foundation | EEF</w:t>
              </w:r>
            </w:hyperlink>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E8FED" w14:textId="19B43F68" w:rsidR="005756AD" w:rsidRDefault="00185478" w:rsidP="00971283">
            <w:pPr>
              <w:rPr>
                <w:szCs w:val="22"/>
              </w:rPr>
            </w:pPr>
            <w:r>
              <w:rPr>
                <w:szCs w:val="22"/>
              </w:rPr>
              <w:t>2,3,4.</w:t>
            </w:r>
          </w:p>
        </w:tc>
      </w:tr>
    </w:tbl>
    <w:p w14:paraId="1D15F3CF" w14:textId="77777777" w:rsidR="00971283" w:rsidRDefault="00971283" w:rsidP="00971283"/>
    <w:p w14:paraId="68305DAC" w14:textId="77777777" w:rsidR="009350EC" w:rsidRDefault="009350EC" w:rsidP="00971283"/>
    <w:p w14:paraId="1F238609" w14:textId="77777777" w:rsidR="009350EC" w:rsidRDefault="009350EC" w:rsidP="00971283"/>
    <w:p w14:paraId="2CD817CF" w14:textId="77777777" w:rsidR="009350EC" w:rsidRDefault="009350EC" w:rsidP="00971283"/>
    <w:p w14:paraId="62AF5AF8" w14:textId="77777777" w:rsidR="009350EC" w:rsidRDefault="009350EC" w:rsidP="00971283"/>
    <w:p w14:paraId="03A7B890" w14:textId="77777777" w:rsidR="009350EC" w:rsidRDefault="009350EC" w:rsidP="00971283"/>
    <w:p w14:paraId="2A7D5533" w14:textId="7C41CECE" w:rsidR="00E66558" w:rsidRDefault="009D71E8" w:rsidP="00971283">
      <w:r>
        <w:lastRenderedPageBreak/>
        <w:t>Wider strategies (for example, related to attendance, behaviour, wellbeing)</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rsidP="00971283">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rsidP="00971283">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rsidP="00971283">
            <w:r>
              <w:t>Challenge number(s) addressed</w:t>
            </w:r>
          </w:p>
        </w:tc>
      </w:tr>
      <w:tr w:rsidR="00A172FB" w14:paraId="59C73498" w14:textId="77777777" w:rsidTr="001E29F1">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57210" w14:textId="353C32B0" w:rsidR="00A172FB" w:rsidRPr="00E27862" w:rsidRDefault="00185478" w:rsidP="00971283">
            <w:pPr>
              <w:rPr>
                <w:iCs/>
                <w:szCs w:val="28"/>
                <w:lang w:val="en-US"/>
              </w:rPr>
            </w:pPr>
            <w:r>
              <w:rPr>
                <w:iCs/>
                <w:szCs w:val="28"/>
                <w:lang w:val="en-US"/>
              </w:rPr>
              <w:t xml:space="preserve">Part fund </w:t>
            </w:r>
            <w:r w:rsidR="009350EC">
              <w:rPr>
                <w:iCs/>
                <w:szCs w:val="28"/>
                <w:lang w:val="en-US"/>
              </w:rPr>
              <w:t>1 Pastoral Lead and 1 TA</w:t>
            </w:r>
            <w:r>
              <w:rPr>
                <w:iCs/>
                <w:szCs w:val="28"/>
                <w:lang w:val="en-US"/>
              </w:rPr>
              <w:t xml:space="preserve"> to staff our </w:t>
            </w:r>
            <w:r w:rsidR="0084084C">
              <w:rPr>
                <w:iCs/>
                <w:szCs w:val="28"/>
                <w:lang w:val="en-US"/>
              </w:rPr>
              <w:t xml:space="preserve">Pastoral support </w:t>
            </w:r>
            <w:r>
              <w:rPr>
                <w:iCs/>
                <w:szCs w:val="28"/>
                <w:lang w:val="en-US"/>
              </w:rPr>
              <w:t>for group</w:t>
            </w:r>
            <w:r w:rsidR="0084084C">
              <w:rPr>
                <w:iCs/>
                <w:szCs w:val="28"/>
                <w:lang w:val="en-US"/>
              </w:rPr>
              <w:t xml:space="preserve">, </w:t>
            </w:r>
            <w:r>
              <w:rPr>
                <w:iCs/>
                <w:szCs w:val="28"/>
                <w:lang w:val="en-US"/>
              </w:rPr>
              <w:t xml:space="preserve">1-1 </w:t>
            </w:r>
            <w:r w:rsidR="0084084C">
              <w:rPr>
                <w:iCs/>
                <w:szCs w:val="28"/>
                <w:lang w:val="en-US"/>
              </w:rPr>
              <w:t xml:space="preserve">and </w:t>
            </w:r>
            <w:r>
              <w:rPr>
                <w:iCs/>
                <w:szCs w:val="28"/>
                <w:lang w:val="en-US"/>
              </w:rPr>
              <w:t>behaviour support.</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65AD8" w14:textId="2D3FF72D" w:rsidR="00A172FB" w:rsidRPr="00E27862" w:rsidRDefault="00834823" w:rsidP="00971283">
            <w:r w:rsidRPr="00E27862">
              <w:t>B</w:t>
            </w:r>
            <w:r w:rsidR="00895E40" w:rsidRPr="00E27862">
              <w:t>oth targeted interventions</w:t>
            </w:r>
            <w:r w:rsidR="009507D7" w:rsidRPr="00E27862">
              <w:t xml:space="preserve"> and universal approaches can have</w:t>
            </w:r>
            <w:r w:rsidR="005053BE" w:rsidRPr="00E27862">
              <w:t xml:space="preserve"> </w:t>
            </w:r>
            <w:r w:rsidR="009507D7" w:rsidRPr="00E27862">
              <w:t>positive overall effect</w:t>
            </w:r>
            <w:r w:rsidR="00366172" w:rsidRPr="00E27862">
              <w:t>s:</w:t>
            </w:r>
          </w:p>
          <w:p w14:paraId="5245D0FD" w14:textId="0DAC6ABE" w:rsidR="009B020C" w:rsidRPr="00E27862" w:rsidRDefault="009B020C" w:rsidP="00971283">
            <w:hyperlink r:id="rId24" w:history="1">
              <w:r w:rsidRPr="009A7AA4">
                <w:rPr>
                  <w:color w:val="0070C0"/>
                  <w:u w:val="single"/>
                </w:rPr>
                <w:t>Behaviour interventions | EEF (educationendowmentfoundation.org.uk)</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F5971" w14:textId="2437EF87" w:rsidR="00A172FB" w:rsidRPr="00E27862" w:rsidRDefault="009350EC" w:rsidP="00971283">
            <w:pPr>
              <w:rPr>
                <w:sz w:val="22"/>
              </w:rPr>
            </w:pPr>
            <w:r>
              <w:rPr>
                <w:sz w:val="22"/>
              </w:rPr>
              <w:t>1, 5, 6</w:t>
            </w:r>
          </w:p>
        </w:tc>
      </w:tr>
      <w:tr w:rsidR="004C2DBA" w:rsidRPr="00380251" w14:paraId="37A514BF" w14:textId="77777777" w:rsidTr="001E29F1">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7183B" w14:textId="05B2048B" w:rsidR="004C2DBA" w:rsidRPr="00E27862" w:rsidRDefault="00185478" w:rsidP="00971283">
            <w:pPr>
              <w:rPr>
                <w:iCs/>
                <w:szCs w:val="28"/>
                <w:lang w:val="en-US"/>
              </w:rPr>
            </w:pPr>
            <w:r>
              <w:rPr>
                <w:iCs/>
                <w:szCs w:val="28"/>
                <w:lang w:val="en-US"/>
              </w:rPr>
              <w:t>Continue to buy-in an Attendance Officer from Wigan LA to work with families, contributing to Early Helps in order to address persistent absence.</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31E2F" w14:textId="77777777" w:rsidR="004C2DBA" w:rsidRDefault="004C2DBA" w:rsidP="00971283">
            <w:r w:rsidRPr="00E27862">
              <w:t xml:space="preserve">The DfE guidance has been informed by engagement with schools that have significantly reduced </w:t>
            </w:r>
            <w:r w:rsidR="009E7DEE" w:rsidRPr="00E27862">
              <w:t>levels of</w:t>
            </w:r>
            <w:r w:rsidR="00960901" w:rsidRPr="00E27862">
              <w:t xml:space="preserve"> absence and</w:t>
            </w:r>
            <w:r w:rsidRPr="00E27862">
              <w:t xml:space="preserve"> persistent absence. </w:t>
            </w:r>
          </w:p>
          <w:p w14:paraId="3B205034" w14:textId="28A8B9F8" w:rsidR="00185478" w:rsidRPr="00E27862" w:rsidRDefault="00185478" w:rsidP="00971283">
            <w:pPr>
              <w:rPr>
                <w:iCs/>
                <w:szCs w:val="28"/>
                <w:lang w:val="en-US"/>
              </w:rPr>
            </w:pPr>
            <w:r w:rsidRPr="00E27862">
              <w:rPr>
                <w:iCs/>
                <w:szCs w:val="28"/>
                <w:lang w:val="en-US"/>
              </w:rPr>
              <w:t xml:space="preserve">DfE’s </w:t>
            </w:r>
            <w:hyperlink r:id="rId25" w:history="1">
              <w:r w:rsidRPr="009A7AA4">
                <w:rPr>
                  <w:rStyle w:val="Hyperlink"/>
                  <w:iCs/>
                  <w:color w:val="0070C0"/>
                  <w:szCs w:val="28"/>
                  <w:lang w:val="en-US"/>
                </w:rPr>
                <w:t>Improving School Attendance</w:t>
              </w:r>
            </w:hyperlink>
            <w:r w:rsidRPr="009A7AA4">
              <w:rPr>
                <w:iCs/>
                <w:color w:val="0070C0"/>
                <w:szCs w:val="28"/>
                <w:lang w:val="en-US"/>
              </w:rPr>
              <w:t xml:space="preserve"> </w:t>
            </w:r>
            <w:r w:rsidRPr="00E27862">
              <w:rPr>
                <w:iCs/>
                <w:szCs w:val="28"/>
                <w:lang w:val="en-US"/>
              </w:rPr>
              <w:t>advice.</w:t>
            </w:r>
          </w:p>
          <w:p w14:paraId="18698FB7" w14:textId="55097B7C" w:rsidR="00185478" w:rsidRPr="00E27862" w:rsidRDefault="00185478" w:rsidP="00971283"/>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B11C2" w14:textId="77777777" w:rsidR="004C2DBA" w:rsidRPr="00E27862" w:rsidRDefault="004C2DBA" w:rsidP="00971283">
            <w:pPr>
              <w:rPr>
                <w:sz w:val="22"/>
              </w:rPr>
            </w:pPr>
            <w:r w:rsidRPr="00E27862">
              <w:rPr>
                <w:sz w:val="22"/>
              </w:rPr>
              <w:t>6</w:t>
            </w:r>
          </w:p>
        </w:tc>
      </w:tr>
      <w:tr w:rsidR="005A4422" w:rsidRPr="00380251" w14:paraId="67BC090C" w14:textId="77777777" w:rsidTr="001E29F1">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28E99" w14:textId="5F08CB74" w:rsidR="005A4422" w:rsidRDefault="005A4422" w:rsidP="00971283">
            <w:pPr>
              <w:rPr>
                <w:iCs/>
                <w:szCs w:val="28"/>
                <w:lang w:val="en-US"/>
              </w:rPr>
            </w:pPr>
            <w:r>
              <w:rPr>
                <w:iCs/>
                <w:szCs w:val="28"/>
                <w:lang w:val="en-US"/>
              </w:rPr>
              <w:t xml:space="preserve">Provide financial support to families eligible for PPG towards school trips, </w:t>
            </w:r>
            <w:r w:rsidR="00F61AC4">
              <w:rPr>
                <w:iCs/>
                <w:szCs w:val="28"/>
                <w:lang w:val="en-US"/>
              </w:rPr>
              <w:t xml:space="preserve">residentials, </w:t>
            </w:r>
            <w:r>
              <w:rPr>
                <w:iCs/>
                <w:szCs w:val="28"/>
                <w:lang w:val="en-US"/>
              </w:rPr>
              <w:t>equipment and music tuition for example.</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6404" w14:textId="71C81E37" w:rsidR="005A4422" w:rsidRPr="00E27862" w:rsidRDefault="00F61AC4" w:rsidP="00971283">
            <w:r w:rsidRPr="00F61AC4">
              <w:t xml:space="preserve">Evidence suggests that residential visits have benefits linked to improving pupils’ engagement with learning; fostering deep relationships with peers and teachers and creating a sense of  cohesion and belonging (vital after an extended period of lockdown and prior to a period of transition for pupils) and improving pupils’ self-confidence, resilience, and well-being. Our decision to invest in subsidising school curriculum visits is supported by our own professional and contextual knowledge and previous school success that enhancing the wider curriculum with real life experiences builds </w:t>
            </w:r>
            <w:r w:rsidRPr="00F61AC4">
              <w:lastRenderedPageBreak/>
              <w:t xml:space="preserve">our pupils’ background knowledge and improve their access and understanding of their curriculum studies.  </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ABE86" w14:textId="24344233" w:rsidR="005A4422" w:rsidRPr="00E27862" w:rsidRDefault="00F11119" w:rsidP="00971283">
            <w:pPr>
              <w:rPr>
                <w:sz w:val="22"/>
              </w:rPr>
            </w:pPr>
            <w:r>
              <w:rPr>
                <w:sz w:val="22"/>
              </w:rPr>
              <w:lastRenderedPageBreak/>
              <w:t>All</w:t>
            </w:r>
          </w:p>
        </w:tc>
      </w:tr>
      <w:tr w:rsidR="00BA6754" w14:paraId="52AD304A" w14:textId="77777777" w:rsidTr="001E29F1">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3E24D" w14:textId="2C9CCEC7" w:rsidR="00F74CB1" w:rsidRPr="00E27862" w:rsidRDefault="00F74CB1" w:rsidP="00971283">
            <w:pPr>
              <w:rPr>
                <w:iCs/>
                <w:szCs w:val="28"/>
                <w:lang w:val="en-US"/>
              </w:rPr>
            </w:pPr>
            <w:r w:rsidRPr="00E27862">
              <w:rPr>
                <w:iCs/>
                <w:szCs w:val="28"/>
                <w:lang w:val="en-US"/>
              </w:rPr>
              <w:t>Contingency fund for acute issues</w:t>
            </w:r>
            <w:r w:rsidR="004F5A6F" w:rsidRPr="00E27862">
              <w:rPr>
                <w:iCs/>
                <w:szCs w:val="28"/>
                <w:lang w:val="en-US"/>
              </w:rPr>
              <w:t>.</w:t>
            </w:r>
          </w:p>
          <w:p w14:paraId="7BEAF4D9" w14:textId="77777777" w:rsidR="00BA6754" w:rsidRPr="00E27862" w:rsidRDefault="00BA6754" w:rsidP="00971283">
            <w:pPr>
              <w:rPr>
                <w:iCs/>
                <w:szCs w:val="28"/>
                <w:lang w:val="en-US"/>
              </w:rPr>
            </w:pP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02762" w14:textId="409FD784" w:rsidR="00FB4E3A" w:rsidRPr="00E27862" w:rsidRDefault="00C1071C" w:rsidP="00971283">
            <w:pPr>
              <w:rPr>
                <w:szCs w:val="22"/>
              </w:rPr>
            </w:pPr>
            <w:r w:rsidRPr="00E27862">
              <w:rPr>
                <w:szCs w:val="22"/>
              </w:rPr>
              <w:t xml:space="preserve">Based on our experiences and those of similar schools to ours, we have identified </w:t>
            </w:r>
            <w:r w:rsidR="00B22493" w:rsidRPr="00E27862">
              <w:rPr>
                <w:szCs w:val="22"/>
              </w:rPr>
              <w:t>a need</w:t>
            </w:r>
            <w:r w:rsidR="006700ED" w:rsidRPr="00E27862">
              <w:rPr>
                <w:szCs w:val="22"/>
              </w:rPr>
              <w:t xml:space="preserve"> to </w:t>
            </w:r>
            <w:r w:rsidR="003E321F" w:rsidRPr="00E27862">
              <w:rPr>
                <w:szCs w:val="22"/>
              </w:rPr>
              <w:t xml:space="preserve">set </w:t>
            </w:r>
            <w:r w:rsidR="00D44C2F" w:rsidRPr="00E27862">
              <w:rPr>
                <w:szCs w:val="22"/>
              </w:rPr>
              <w:t xml:space="preserve">a small amount of </w:t>
            </w:r>
            <w:r w:rsidR="00722EF2" w:rsidRPr="00E27862">
              <w:rPr>
                <w:szCs w:val="22"/>
              </w:rPr>
              <w:t>funding</w:t>
            </w:r>
            <w:r w:rsidR="003E321F" w:rsidRPr="00E27862">
              <w:rPr>
                <w:szCs w:val="22"/>
              </w:rPr>
              <w:t xml:space="preserve"> aside</w:t>
            </w:r>
            <w:r w:rsidR="00D44C2F" w:rsidRPr="00E27862">
              <w:rPr>
                <w:szCs w:val="22"/>
              </w:rPr>
              <w:t xml:space="preserve"> to</w:t>
            </w:r>
            <w:r w:rsidR="006700ED" w:rsidRPr="00E27862">
              <w:rPr>
                <w:szCs w:val="22"/>
              </w:rPr>
              <w:t xml:space="preserve"> respo</w:t>
            </w:r>
            <w:r w:rsidR="00D86798" w:rsidRPr="00E27862">
              <w:rPr>
                <w:szCs w:val="22"/>
              </w:rPr>
              <w:t xml:space="preserve">nd quickly to </w:t>
            </w:r>
            <w:r w:rsidR="00162957" w:rsidRPr="00E27862">
              <w:rPr>
                <w:szCs w:val="22"/>
              </w:rPr>
              <w:t>needs that have not yet been identified.</w:t>
            </w:r>
            <w:r w:rsidR="005A4422">
              <w:rPr>
                <w:szCs w:val="22"/>
              </w:rPr>
              <w:t xml:space="preserve"> </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3D2DD" w14:textId="53EA128C" w:rsidR="00BA6754" w:rsidRPr="00E27862" w:rsidRDefault="006700ED" w:rsidP="00971283">
            <w:pPr>
              <w:rPr>
                <w:sz w:val="22"/>
              </w:rPr>
            </w:pPr>
            <w:r w:rsidRPr="00E27862">
              <w:rPr>
                <w:sz w:val="22"/>
              </w:rPr>
              <w:t>All</w:t>
            </w:r>
          </w:p>
        </w:tc>
      </w:tr>
    </w:tbl>
    <w:p w14:paraId="00291E16" w14:textId="77777777" w:rsidR="00877501" w:rsidRDefault="00877501" w:rsidP="00971283">
      <w:pPr>
        <w:rPr>
          <w:b/>
          <w:color w:val="104F75"/>
          <w:sz w:val="28"/>
          <w:szCs w:val="28"/>
        </w:rPr>
      </w:pPr>
    </w:p>
    <w:p w14:paraId="77169642" w14:textId="77777777" w:rsidR="00971283" w:rsidRDefault="00971283" w:rsidP="00971283"/>
    <w:p w14:paraId="6E661697" w14:textId="77777777" w:rsidR="00971283" w:rsidRDefault="00971283" w:rsidP="00971283"/>
    <w:p w14:paraId="2A7D5542" w14:textId="4778629A" w:rsidR="00E66558" w:rsidRDefault="009D71E8" w:rsidP="00971283">
      <w:r>
        <w:t>Part B: Review of outcomes in the previous academic year</w:t>
      </w:r>
    </w:p>
    <w:p w14:paraId="2A7D5543" w14:textId="77777777" w:rsidR="00E66558" w:rsidRDefault="009D71E8" w:rsidP="00971283">
      <w:r>
        <w:t>Pupil premium strategy outcomes</w:t>
      </w:r>
    </w:p>
    <w:p w14:paraId="2A7D5544" w14:textId="72C19CEA" w:rsidR="00E66558" w:rsidRDefault="009D71E8" w:rsidP="00971283">
      <w:r>
        <w:t>This details the impact that our pupil premium ac</w:t>
      </w:r>
      <w:r w:rsidR="00D72EB3">
        <w:t>tivity had on pupils in the 202</w:t>
      </w:r>
      <w:r w:rsidR="009D62A3">
        <w:t>4</w:t>
      </w:r>
      <w:r w:rsidR="00D72EB3">
        <w:t xml:space="preserve"> to 202</w:t>
      </w:r>
      <w:r w:rsidR="009D62A3">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B64F" w14:textId="44ABC4E6" w:rsidR="0050384A" w:rsidRDefault="00746E87" w:rsidP="00971283">
            <w:pPr>
              <w:rPr>
                <w:b/>
                <w:bCs/>
                <w:u w:val="single"/>
                <w:lang w:eastAsia="en-US"/>
              </w:rPr>
            </w:pPr>
            <w:r w:rsidRPr="00746E87">
              <w:rPr>
                <w:b/>
                <w:bCs/>
                <w:u w:val="single"/>
                <w:lang w:eastAsia="en-US"/>
              </w:rPr>
              <w:t xml:space="preserve">Pupil Premium </w:t>
            </w:r>
            <w:r w:rsidR="009D62A3" w:rsidRPr="00746E87">
              <w:rPr>
                <w:b/>
                <w:bCs/>
                <w:u w:val="single"/>
                <w:lang w:eastAsia="en-US"/>
              </w:rPr>
              <w:t xml:space="preserve">Attainment </w:t>
            </w:r>
          </w:p>
          <w:tbl>
            <w:tblPr>
              <w:tblStyle w:val="TableGrid"/>
              <w:tblW w:w="0" w:type="auto"/>
              <w:tblLook w:val="04A0" w:firstRow="1" w:lastRow="0" w:firstColumn="1" w:lastColumn="0" w:noHBand="0" w:noVBand="1"/>
            </w:tblPr>
            <w:tblGrid>
              <w:gridCol w:w="1173"/>
              <w:gridCol w:w="1174"/>
              <w:gridCol w:w="1174"/>
              <w:gridCol w:w="1173"/>
              <w:gridCol w:w="1174"/>
              <w:gridCol w:w="1174"/>
            </w:tblGrid>
            <w:tr w:rsidR="00BF4AB1" w14:paraId="7A296576" w14:textId="77777777" w:rsidTr="007C0183">
              <w:tc>
                <w:tcPr>
                  <w:tcW w:w="7042" w:type="dxa"/>
                  <w:gridSpan w:val="6"/>
                  <w:vAlign w:val="center"/>
                </w:tcPr>
                <w:p w14:paraId="77B8733A" w14:textId="77777777" w:rsidR="00BF4AB1" w:rsidRDefault="00BF4AB1" w:rsidP="00BF4AB1">
                  <w:pPr>
                    <w:jc w:val="center"/>
                  </w:pPr>
                  <w:r>
                    <w:t>GLD PP Data</w:t>
                  </w:r>
                </w:p>
              </w:tc>
            </w:tr>
            <w:tr w:rsidR="00BF4AB1" w14:paraId="35E6EA1F" w14:textId="77777777" w:rsidTr="007C0183">
              <w:tc>
                <w:tcPr>
                  <w:tcW w:w="2347" w:type="dxa"/>
                  <w:gridSpan w:val="2"/>
                  <w:vAlign w:val="center"/>
                </w:tcPr>
                <w:p w14:paraId="21266791" w14:textId="77777777" w:rsidR="00BF4AB1" w:rsidRDefault="00BF4AB1" w:rsidP="00BF4AB1">
                  <w:pPr>
                    <w:jc w:val="center"/>
                  </w:pPr>
                  <w:r>
                    <w:t>2022/2023</w:t>
                  </w:r>
                </w:p>
              </w:tc>
              <w:tc>
                <w:tcPr>
                  <w:tcW w:w="2347" w:type="dxa"/>
                  <w:gridSpan w:val="2"/>
                  <w:vAlign w:val="center"/>
                </w:tcPr>
                <w:p w14:paraId="595FD75A" w14:textId="77777777" w:rsidR="00BF4AB1" w:rsidRDefault="00BF4AB1" w:rsidP="00BF4AB1">
                  <w:pPr>
                    <w:jc w:val="center"/>
                  </w:pPr>
                  <w:r>
                    <w:t>2023/2024</w:t>
                  </w:r>
                </w:p>
              </w:tc>
              <w:tc>
                <w:tcPr>
                  <w:tcW w:w="2348" w:type="dxa"/>
                  <w:gridSpan w:val="2"/>
                  <w:vAlign w:val="center"/>
                </w:tcPr>
                <w:p w14:paraId="4CD581F1" w14:textId="77777777" w:rsidR="00BF4AB1" w:rsidRDefault="00BF4AB1" w:rsidP="00BF4AB1">
                  <w:pPr>
                    <w:jc w:val="center"/>
                  </w:pPr>
                  <w:r>
                    <w:t>2024/2025</w:t>
                  </w:r>
                </w:p>
              </w:tc>
            </w:tr>
            <w:tr w:rsidR="00BF4AB1" w14:paraId="45CD30AE" w14:textId="77777777" w:rsidTr="007C0183">
              <w:tc>
                <w:tcPr>
                  <w:tcW w:w="1173" w:type="dxa"/>
                  <w:vAlign w:val="center"/>
                </w:tcPr>
                <w:p w14:paraId="76B06C7E" w14:textId="77777777" w:rsidR="00BF4AB1" w:rsidRDefault="00BF4AB1" w:rsidP="00BF4AB1">
                  <w:pPr>
                    <w:spacing w:after="0" w:line="240" w:lineRule="auto"/>
                    <w:jc w:val="center"/>
                  </w:pPr>
                  <w:r>
                    <w:t>PP</w:t>
                  </w:r>
                </w:p>
              </w:tc>
              <w:tc>
                <w:tcPr>
                  <w:tcW w:w="1174" w:type="dxa"/>
                  <w:vAlign w:val="center"/>
                </w:tcPr>
                <w:p w14:paraId="693F17AE" w14:textId="77777777" w:rsidR="00BF4AB1" w:rsidRDefault="00BF4AB1" w:rsidP="00BF4AB1">
                  <w:pPr>
                    <w:spacing w:after="0" w:line="240" w:lineRule="auto"/>
                    <w:jc w:val="center"/>
                  </w:pPr>
                  <w:r>
                    <w:t>Non-PP</w:t>
                  </w:r>
                </w:p>
              </w:tc>
              <w:tc>
                <w:tcPr>
                  <w:tcW w:w="1174" w:type="dxa"/>
                  <w:vAlign w:val="center"/>
                </w:tcPr>
                <w:p w14:paraId="347C5C6E" w14:textId="77777777" w:rsidR="00BF4AB1" w:rsidRDefault="00BF4AB1" w:rsidP="00BF4AB1">
                  <w:pPr>
                    <w:spacing w:after="0" w:line="240" w:lineRule="auto"/>
                    <w:jc w:val="center"/>
                  </w:pPr>
                  <w:r>
                    <w:t>PP</w:t>
                  </w:r>
                </w:p>
              </w:tc>
              <w:tc>
                <w:tcPr>
                  <w:tcW w:w="1173" w:type="dxa"/>
                  <w:vAlign w:val="center"/>
                </w:tcPr>
                <w:p w14:paraId="21F2C938" w14:textId="77777777" w:rsidR="00BF4AB1" w:rsidRDefault="00BF4AB1" w:rsidP="00BF4AB1">
                  <w:pPr>
                    <w:spacing w:after="0" w:line="240" w:lineRule="auto"/>
                    <w:jc w:val="center"/>
                  </w:pPr>
                  <w:r>
                    <w:t>Non-PP</w:t>
                  </w:r>
                </w:p>
              </w:tc>
              <w:tc>
                <w:tcPr>
                  <w:tcW w:w="1174" w:type="dxa"/>
                  <w:vAlign w:val="center"/>
                </w:tcPr>
                <w:p w14:paraId="7A1E3A57" w14:textId="77777777" w:rsidR="00BF4AB1" w:rsidRDefault="00BF4AB1" w:rsidP="00BF4AB1">
                  <w:pPr>
                    <w:spacing w:after="0" w:line="240" w:lineRule="auto"/>
                    <w:jc w:val="center"/>
                  </w:pPr>
                  <w:r>
                    <w:t>PP</w:t>
                  </w:r>
                </w:p>
              </w:tc>
              <w:tc>
                <w:tcPr>
                  <w:tcW w:w="1174" w:type="dxa"/>
                  <w:vAlign w:val="center"/>
                </w:tcPr>
                <w:p w14:paraId="74B10301" w14:textId="77777777" w:rsidR="00BF4AB1" w:rsidRDefault="00BF4AB1" w:rsidP="00BF4AB1">
                  <w:pPr>
                    <w:jc w:val="center"/>
                  </w:pPr>
                  <w:r>
                    <w:t>Non-PP</w:t>
                  </w:r>
                </w:p>
              </w:tc>
            </w:tr>
            <w:tr w:rsidR="00BF4AB1" w14:paraId="0514396C" w14:textId="77777777" w:rsidTr="007C0183">
              <w:tc>
                <w:tcPr>
                  <w:tcW w:w="1173" w:type="dxa"/>
                  <w:vAlign w:val="center"/>
                </w:tcPr>
                <w:p w14:paraId="6BD14BAA" w14:textId="77777777" w:rsidR="00BF4AB1" w:rsidRDefault="00BF4AB1" w:rsidP="00BF4AB1">
                  <w:pPr>
                    <w:spacing w:after="0" w:line="240" w:lineRule="auto"/>
                    <w:jc w:val="center"/>
                  </w:pPr>
                  <w:r>
                    <w:t>N/A</w:t>
                  </w:r>
                </w:p>
              </w:tc>
              <w:tc>
                <w:tcPr>
                  <w:tcW w:w="1174" w:type="dxa"/>
                  <w:vAlign w:val="center"/>
                </w:tcPr>
                <w:p w14:paraId="5750AB66" w14:textId="77777777" w:rsidR="00BF4AB1" w:rsidRDefault="00BF4AB1" w:rsidP="00BF4AB1">
                  <w:pPr>
                    <w:spacing w:after="0" w:line="240" w:lineRule="auto"/>
                    <w:jc w:val="center"/>
                  </w:pPr>
                  <w:r>
                    <w:t>66.7%</w:t>
                  </w:r>
                </w:p>
              </w:tc>
              <w:tc>
                <w:tcPr>
                  <w:tcW w:w="1174" w:type="dxa"/>
                  <w:vAlign w:val="center"/>
                </w:tcPr>
                <w:p w14:paraId="4CCC3E99" w14:textId="77777777" w:rsidR="00BF4AB1" w:rsidRDefault="00BF4AB1" w:rsidP="00BF4AB1">
                  <w:pPr>
                    <w:spacing w:after="0" w:line="240" w:lineRule="auto"/>
                    <w:jc w:val="center"/>
                  </w:pPr>
                  <w:r>
                    <w:t>100%</w:t>
                  </w:r>
                </w:p>
              </w:tc>
              <w:tc>
                <w:tcPr>
                  <w:tcW w:w="1173" w:type="dxa"/>
                  <w:vAlign w:val="center"/>
                </w:tcPr>
                <w:p w14:paraId="528A458E" w14:textId="77777777" w:rsidR="00BF4AB1" w:rsidRDefault="00BF4AB1" w:rsidP="00BF4AB1">
                  <w:pPr>
                    <w:spacing w:after="0" w:line="240" w:lineRule="auto"/>
                    <w:jc w:val="center"/>
                  </w:pPr>
                  <w:r>
                    <w:t>57.7%</w:t>
                  </w:r>
                </w:p>
              </w:tc>
              <w:tc>
                <w:tcPr>
                  <w:tcW w:w="1174" w:type="dxa"/>
                  <w:vAlign w:val="center"/>
                </w:tcPr>
                <w:p w14:paraId="1D9B277D" w14:textId="77777777" w:rsidR="00BF4AB1" w:rsidRDefault="00BF4AB1" w:rsidP="00BF4AB1">
                  <w:pPr>
                    <w:spacing w:after="0" w:line="240" w:lineRule="auto"/>
                    <w:jc w:val="center"/>
                  </w:pPr>
                  <w:r>
                    <w:t>50%</w:t>
                  </w:r>
                </w:p>
              </w:tc>
              <w:tc>
                <w:tcPr>
                  <w:tcW w:w="1174" w:type="dxa"/>
                  <w:vAlign w:val="center"/>
                </w:tcPr>
                <w:p w14:paraId="6446A426" w14:textId="77777777" w:rsidR="00BF4AB1" w:rsidRDefault="00BF4AB1" w:rsidP="00BF4AB1">
                  <w:pPr>
                    <w:jc w:val="center"/>
                  </w:pPr>
                  <w:r>
                    <w:t>66.7%</w:t>
                  </w:r>
                </w:p>
              </w:tc>
            </w:tr>
          </w:tbl>
          <w:p w14:paraId="5C5539E6" w14:textId="76B902CD" w:rsidR="00BF4AB1" w:rsidRDefault="00BF4AB1" w:rsidP="00971283">
            <w:pPr>
              <w:rPr>
                <w:lang w:eastAsia="en-US"/>
              </w:rPr>
            </w:pPr>
            <w:r>
              <w:rPr>
                <w:lang w:eastAsia="en-US"/>
              </w:rPr>
              <w:t>The pupil premium children in YR are a very small cohort with maximum being 2 in 2023/2024.</w:t>
            </w:r>
          </w:p>
          <w:tbl>
            <w:tblPr>
              <w:tblStyle w:val="TableGrid"/>
              <w:tblW w:w="0" w:type="auto"/>
              <w:tblLook w:val="04A0" w:firstRow="1" w:lastRow="0" w:firstColumn="1" w:lastColumn="0" w:noHBand="0" w:noVBand="1"/>
            </w:tblPr>
            <w:tblGrid>
              <w:gridCol w:w="1173"/>
              <w:gridCol w:w="1174"/>
              <w:gridCol w:w="1174"/>
              <w:gridCol w:w="1173"/>
              <w:gridCol w:w="1174"/>
              <w:gridCol w:w="1174"/>
            </w:tblGrid>
            <w:tr w:rsidR="00BF4AB1" w14:paraId="32FA4E72" w14:textId="77777777" w:rsidTr="007C0183">
              <w:tc>
                <w:tcPr>
                  <w:tcW w:w="7042" w:type="dxa"/>
                  <w:gridSpan w:val="6"/>
                  <w:vAlign w:val="center"/>
                </w:tcPr>
                <w:p w14:paraId="3ABAFFF6" w14:textId="77777777" w:rsidR="00BF4AB1" w:rsidRDefault="00BF4AB1" w:rsidP="00BF4AB1">
                  <w:pPr>
                    <w:jc w:val="center"/>
                  </w:pPr>
                  <w:r>
                    <w:t>Y1 Phonics PP Data</w:t>
                  </w:r>
                </w:p>
              </w:tc>
            </w:tr>
            <w:tr w:rsidR="00BF4AB1" w14:paraId="417F3209" w14:textId="77777777" w:rsidTr="007C0183">
              <w:tc>
                <w:tcPr>
                  <w:tcW w:w="2347" w:type="dxa"/>
                  <w:gridSpan w:val="2"/>
                  <w:vAlign w:val="center"/>
                </w:tcPr>
                <w:p w14:paraId="47A0293B" w14:textId="77777777" w:rsidR="00BF4AB1" w:rsidRDefault="00BF4AB1" w:rsidP="00BF4AB1">
                  <w:pPr>
                    <w:jc w:val="center"/>
                  </w:pPr>
                  <w:r>
                    <w:t>2022/2023</w:t>
                  </w:r>
                </w:p>
              </w:tc>
              <w:tc>
                <w:tcPr>
                  <w:tcW w:w="2347" w:type="dxa"/>
                  <w:gridSpan w:val="2"/>
                  <w:vAlign w:val="center"/>
                </w:tcPr>
                <w:p w14:paraId="665A90A7" w14:textId="77777777" w:rsidR="00BF4AB1" w:rsidRDefault="00BF4AB1" w:rsidP="00BF4AB1">
                  <w:pPr>
                    <w:jc w:val="center"/>
                  </w:pPr>
                  <w:r>
                    <w:t>2023/2024</w:t>
                  </w:r>
                </w:p>
              </w:tc>
              <w:tc>
                <w:tcPr>
                  <w:tcW w:w="2348" w:type="dxa"/>
                  <w:gridSpan w:val="2"/>
                  <w:vAlign w:val="center"/>
                </w:tcPr>
                <w:p w14:paraId="3B6C36CD" w14:textId="77777777" w:rsidR="00BF4AB1" w:rsidRDefault="00BF4AB1" w:rsidP="00BF4AB1">
                  <w:pPr>
                    <w:jc w:val="center"/>
                  </w:pPr>
                  <w:r>
                    <w:t>2024/2025</w:t>
                  </w:r>
                </w:p>
              </w:tc>
            </w:tr>
            <w:tr w:rsidR="00BF4AB1" w14:paraId="2FB05D33" w14:textId="77777777" w:rsidTr="007C0183">
              <w:tc>
                <w:tcPr>
                  <w:tcW w:w="1173" w:type="dxa"/>
                  <w:vAlign w:val="center"/>
                </w:tcPr>
                <w:p w14:paraId="47AF5BC2" w14:textId="77777777" w:rsidR="00BF4AB1" w:rsidRDefault="00BF4AB1" w:rsidP="00BF4AB1">
                  <w:pPr>
                    <w:spacing w:after="0" w:line="240" w:lineRule="auto"/>
                    <w:jc w:val="center"/>
                  </w:pPr>
                  <w:r>
                    <w:t>PP</w:t>
                  </w:r>
                </w:p>
              </w:tc>
              <w:tc>
                <w:tcPr>
                  <w:tcW w:w="1174" w:type="dxa"/>
                  <w:vAlign w:val="center"/>
                </w:tcPr>
                <w:p w14:paraId="2D600F2C" w14:textId="77777777" w:rsidR="00BF4AB1" w:rsidRDefault="00BF4AB1" w:rsidP="00BF4AB1">
                  <w:pPr>
                    <w:spacing w:after="0" w:line="240" w:lineRule="auto"/>
                    <w:jc w:val="center"/>
                  </w:pPr>
                  <w:r>
                    <w:t>Non-PP</w:t>
                  </w:r>
                </w:p>
              </w:tc>
              <w:tc>
                <w:tcPr>
                  <w:tcW w:w="1174" w:type="dxa"/>
                  <w:vAlign w:val="center"/>
                </w:tcPr>
                <w:p w14:paraId="5932E1D3" w14:textId="77777777" w:rsidR="00BF4AB1" w:rsidRDefault="00BF4AB1" w:rsidP="00BF4AB1">
                  <w:pPr>
                    <w:spacing w:after="0" w:line="240" w:lineRule="auto"/>
                    <w:jc w:val="center"/>
                  </w:pPr>
                  <w:r>
                    <w:t>PP</w:t>
                  </w:r>
                </w:p>
              </w:tc>
              <w:tc>
                <w:tcPr>
                  <w:tcW w:w="1173" w:type="dxa"/>
                  <w:vAlign w:val="center"/>
                </w:tcPr>
                <w:p w14:paraId="100E4980" w14:textId="77777777" w:rsidR="00BF4AB1" w:rsidRDefault="00BF4AB1" w:rsidP="00BF4AB1">
                  <w:pPr>
                    <w:spacing w:after="0" w:line="240" w:lineRule="auto"/>
                    <w:jc w:val="center"/>
                  </w:pPr>
                  <w:r>
                    <w:t>Non-PP</w:t>
                  </w:r>
                </w:p>
              </w:tc>
              <w:tc>
                <w:tcPr>
                  <w:tcW w:w="1174" w:type="dxa"/>
                  <w:vAlign w:val="center"/>
                </w:tcPr>
                <w:p w14:paraId="0F2671EB" w14:textId="77777777" w:rsidR="00BF4AB1" w:rsidRDefault="00BF4AB1" w:rsidP="00BF4AB1">
                  <w:pPr>
                    <w:spacing w:after="0" w:line="240" w:lineRule="auto"/>
                    <w:jc w:val="center"/>
                  </w:pPr>
                  <w:r>
                    <w:t>PP</w:t>
                  </w:r>
                </w:p>
              </w:tc>
              <w:tc>
                <w:tcPr>
                  <w:tcW w:w="1174" w:type="dxa"/>
                  <w:vAlign w:val="center"/>
                </w:tcPr>
                <w:p w14:paraId="50ED039C" w14:textId="77777777" w:rsidR="00BF4AB1" w:rsidRDefault="00BF4AB1" w:rsidP="00BF4AB1">
                  <w:pPr>
                    <w:jc w:val="center"/>
                  </w:pPr>
                  <w:r>
                    <w:t>Non-PP</w:t>
                  </w:r>
                </w:p>
              </w:tc>
            </w:tr>
            <w:tr w:rsidR="00BF4AB1" w14:paraId="269BAA28" w14:textId="77777777" w:rsidTr="007C0183">
              <w:tc>
                <w:tcPr>
                  <w:tcW w:w="1173" w:type="dxa"/>
                  <w:vAlign w:val="center"/>
                </w:tcPr>
                <w:p w14:paraId="1BF44C17" w14:textId="77777777" w:rsidR="00BF4AB1" w:rsidRDefault="00BF4AB1" w:rsidP="00BF4AB1">
                  <w:pPr>
                    <w:spacing w:after="0" w:line="240" w:lineRule="auto"/>
                    <w:jc w:val="center"/>
                  </w:pPr>
                  <w:r>
                    <w:t>100%</w:t>
                  </w:r>
                </w:p>
              </w:tc>
              <w:tc>
                <w:tcPr>
                  <w:tcW w:w="1174" w:type="dxa"/>
                  <w:vAlign w:val="center"/>
                </w:tcPr>
                <w:p w14:paraId="0617CAAD" w14:textId="77777777" w:rsidR="00BF4AB1" w:rsidRDefault="00BF4AB1" w:rsidP="00BF4AB1">
                  <w:pPr>
                    <w:spacing w:after="0" w:line="240" w:lineRule="auto"/>
                    <w:jc w:val="center"/>
                  </w:pPr>
                  <w:r>
                    <w:t>77.8%</w:t>
                  </w:r>
                </w:p>
              </w:tc>
              <w:tc>
                <w:tcPr>
                  <w:tcW w:w="1174" w:type="dxa"/>
                  <w:vAlign w:val="center"/>
                </w:tcPr>
                <w:p w14:paraId="59C70ACA" w14:textId="77777777" w:rsidR="00BF4AB1" w:rsidRDefault="00BF4AB1" w:rsidP="00BF4AB1">
                  <w:pPr>
                    <w:spacing w:after="0" w:line="240" w:lineRule="auto"/>
                    <w:jc w:val="center"/>
                  </w:pPr>
                  <w:r>
                    <w:t>0%</w:t>
                  </w:r>
                </w:p>
              </w:tc>
              <w:tc>
                <w:tcPr>
                  <w:tcW w:w="1173" w:type="dxa"/>
                  <w:vAlign w:val="center"/>
                </w:tcPr>
                <w:p w14:paraId="43F5CD36" w14:textId="77777777" w:rsidR="00BF4AB1" w:rsidRDefault="00BF4AB1" w:rsidP="00BF4AB1">
                  <w:pPr>
                    <w:spacing w:after="0" w:line="240" w:lineRule="auto"/>
                    <w:jc w:val="center"/>
                  </w:pPr>
                  <w:r>
                    <w:t>82.1%</w:t>
                  </w:r>
                </w:p>
              </w:tc>
              <w:tc>
                <w:tcPr>
                  <w:tcW w:w="1174" w:type="dxa"/>
                  <w:vAlign w:val="center"/>
                </w:tcPr>
                <w:p w14:paraId="47CE64B0" w14:textId="77777777" w:rsidR="00BF4AB1" w:rsidRDefault="00BF4AB1" w:rsidP="00BF4AB1">
                  <w:pPr>
                    <w:spacing w:after="0" w:line="240" w:lineRule="auto"/>
                    <w:jc w:val="center"/>
                  </w:pPr>
                  <w:r>
                    <w:t>100%</w:t>
                  </w:r>
                </w:p>
              </w:tc>
              <w:tc>
                <w:tcPr>
                  <w:tcW w:w="1174" w:type="dxa"/>
                  <w:vAlign w:val="center"/>
                </w:tcPr>
                <w:p w14:paraId="53F98622" w14:textId="77777777" w:rsidR="00BF4AB1" w:rsidRDefault="00BF4AB1" w:rsidP="00BF4AB1">
                  <w:pPr>
                    <w:jc w:val="center"/>
                  </w:pPr>
                  <w:r>
                    <w:t>75%</w:t>
                  </w:r>
                </w:p>
              </w:tc>
            </w:tr>
          </w:tbl>
          <w:p w14:paraId="0D000B11" w14:textId="721CE4FD" w:rsidR="00BF4AB1" w:rsidRDefault="00BF4AB1" w:rsidP="00971283">
            <w:pPr>
              <w:rPr>
                <w:lang w:eastAsia="en-US"/>
              </w:rPr>
            </w:pPr>
            <w:r>
              <w:rPr>
                <w:lang w:eastAsia="en-US"/>
              </w:rPr>
              <w:lastRenderedPageBreak/>
              <w:t>The pupil premium data children are Y1 are small numbers with the maximum of 2 in 2022/2023 and 2024/2025.</w:t>
            </w:r>
          </w:p>
          <w:tbl>
            <w:tblPr>
              <w:tblStyle w:val="TableGrid"/>
              <w:tblW w:w="0" w:type="auto"/>
              <w:tblLook w:val="04A0" w:firstRow="1" w:lastRow="0" w:firstColumn="1" w:lastColumn="0" w:noHBand="0" w:noVBand="1"/>
            </w:tblPr>
            <w:tblGrid>
              <w:gridCol w:w="1974"/>
              <w:gridCol w:w="1173"/>
              <w:gridCol w:w="1174"/>
              <w:gridCol w:w="1173"/>
              <w:gridCol w:w="1174"/>
              <w:gridCol w:w="1174"/>
              <w:gridCol w:w="1174"/>
            </w:tblGrid>
            <w:tr w:rsidR="00BF4AB1" w14:paraId="67D8BDC2" w14:textId="77777777" w:rsidTr="007C0183">
              <w:tc>
                <w:tcPr>
                  <w:tcW w:w="1974" w:type="dxa"/>
                </w:tcPr>
                <w:p w14:paraId="6A61EE8D" w14:textId="77777777" w:rsidR="00BF4AB1" w:rsidRDefault="00BF4AB1" w:rsidP="00BF4AB1">
                  <w:pPr>
                    <w:jc w:val="center"/>
                  </w:pPr>
                </w:p>
              </w:tc>
              <w:tc>
                <w:tcPr>
                  <w:tcW w:w="7042" w:type="dxa"/>
                  <w:gridSpan w:val="6"/>
                  <w:vAlign w:val="center"/>
                </w:tcPr>
                <w:p w14:paraId="4A0974F5" w14:textId="77777777" w:rsidR="00BF4AB1" w:rsidRDefault="00BF4AB1" w:rsidP="00BF4AB1">
                  <w:pPr>
                    <w:jc w:val="center"/>
                  </w:pPr>
                  <w:r>
                    <w:t>End of KS2 PP Data</w:t>
                  </w:r>
                </w:p>
              </w:tc>
            </w:tr>
            <w:tr w:rsidR="00BF4AB1" w14:paraId="11DAE70E" w14:textId="77777777" w:rsidTr="007C0183">
              <w:tc>
                <w:tcPr>
                  <w:tcW w:w="1974" w:type="dxa"/>
                </w:tcPr>
                <w:p w14:paraId="00F4A4C1" w14:textId="77777777" w:rsidR="00BF4AB1" w:rsidRDefault="00BF4AB1" w:rsidP="00BF4AB1">
                  <w:pPr>
                    <w:jc w:val="center"/>
                  </w:pPr>
                </w:p>
              </w:tc>
              <w:tc>
                <w:tcPr>
                  <w:tcW w:w="2347" w:type="dxa"/>
                  <w:gridSpan w:val="2"/>
                  <w:vAlign w:val="center"/>
                </w:tcPr>
                <w:p w14:paraId="44613B75" w14:textId="77777777" w:rsidR="00BF4AB1" w:rsidRDefault="00BF4AB1" w:rsidP="00BF4AB1">
                  <w:pPr>
                    <w:jc w:val="center"/>
                  </w:pPr>
                  <w:r>
                    <w:t>2022/2023</w:t>
                  </w:r>
                </w:p>
              </w:tc>
              <w:tc>
                <w:tcPr>
                  <w:tcW w:w="2347" w:type="dxa"/>
                  <w:gridSpan w:val="2"/>
                  <w:vAlign w:val="center"/>
                </w:tcPr>
                <w:p w14:paraId="6132CBF3" w14:textId="77777777" w:rsidR="00BF4AB1" w:rsidRDefault="00BF4AB1" w:rsidP="00BF4AB1">
                  <w:pPr>
                    <w:jc w:val="center"/>
                  </w:pPr>
                  <w:r>
                    <w:t>2023/2024</w:t>
                  </w:r>
                </w:p>
              </w:tc>
              <w:tc>
                <w:tcPr>
                  <w:tcW w:w="2348" w:type="dxa"/>
                  <w:gridSpan w:val="2"/>
                  <w:vAlign w:val="center"/>
                </w:tcPr>
                <w:p w14:paraId="74C7036A" w14:textId="77777777" w:rsidR="00BF4AB1" w:rsidRDefault="00BF4AB1" w:rsidP="00BF4AB1">
                  <w:pPr>
                    <w:jc w:val="center"/>
                  </w:pPr>
                  <w:r>
                    <w:t>2024/2025</w:t>
                  </w:r>
                </w:p>
              </w:tc>
            </w:tr>
            <w:tr w:rsidR="00BF4AB1" w14:paraId="297D3626" w14:textId="77777777" w:rsidTr="007C0183">
              <w:tc>
                <w:tcPr>
                  <w:tcW w:w="1974" w:type="dxa"/>
                </w:tcPr>
                <w:p w14:paraId="15DECD25" w14:textId="77777777" w:rsidR="00BF4AB1" w:rsidRDefault="00BF4AB1" w:rsidP="00BF4AB1">
                  <w:pPr>
                    <w:jc w:val="center"/>
                  </w:pPr>
                </w:p>
              </w:tc>
              <w:tc>
                <w:tcPr>
                  <w:tcW w:w="1173" w:type="dxa"/>
                  <w:vAlign w:val="center"/>
                </w:tcPr>
                <w:p w14:paraId="1F70BBBE" w14:textId="77777777" w:rsidR="00BF4AB1" w:rsidRDefault="00BF4AB1" w:rsidP="00BF4AB1">
                  <w:pPr>
                    <w:spacing w:after="0" w:line="240" w:lineRule="auto"/>
                    <w:jc w:val="center"/>
                  </w:pPr>
                  <w:r>
                    <w:t>PP</w:t>
                  </w:r>
                </w:p>
              </w:tc>
              <w:tc>
                <w:tcPr>
                  <w:tcW w:w="1174" w:type="dxa"/>
                  <w:vAlign w:val="center"/>
                </w:tcPr>
                <w:p w14:paraId="42DF1D73" w14:textId="77777777" w:rsidR="00BF4AB1" w:rsidRDefault="00BF4AB1" w:rsidP="00BF4AB1">
                  <w:pPr>
                    <w:jc w:val="center"/>
                  </w:pPr>
                  <w:r>
                    <w:t>Non-PP</w:t>
                  </w:r>
                </w:p>
              </w:tc>
              <w:tc>
                <w:tcPr>
                  <w:tcW w:w="1173" w:type="dxa"/>
                  <w:vAlign w:val="center"/>
                </w:tcPr>
                <w:p w14:paraId="04798BD0" w14:textId="77777777" w:rsidR="00BF4AB1" w:rsidRDefault="00BF4AB1" w:rsidP="00BF4AB1">
                  <w:pPr>
                    <w:spacing w:after="0" w:line="240" w:lineRule="auto"/>
                    <w:jc w:val="center"/>
                  </w:pPr>
                  <w:r>
                    <w:t>PP</w:t>
                  </w:r>
                </w:p>
              </w:tc>
              <w:tc>
                <w:tcPr>
                  <w:tcW w:w="1174" w:type="dxa"/>
                  <w:vAlign w:val="center"/>
                </w:tcPr>
                <w:p w14:paraId="45F56588" w14:textId="77777777" w:rsidR="00BF4AB1" w:rsidRDefault="00BF4AB1" w:rsidP="00BF4AB1">
                  <w:pPr>
                    <w:jc w:val="center"/>
                  </w:pPr>
                  <w:r>
                    <w:t>Non-PP</w:t>
                  </w:r>
                </w:p>
              </w:tc>
              <w:tc>
                <w:tcPr>
                  <w:tcW w:w="1174" w:type="dxa"/>
                  <w:vAlign w:val="center"/>
                </w:tcPr>
                <w:p w14:paraId="7244EA5F" w14:textId="77777777" w:rsidR="00BF4AB1" w:rsidRDefault="00BF4AB1" w:rsidP="00BF4AB1">
                  <w:pPr>
                    <w:spacing w:after="0" w:line="240" w:lineRule="auto"/>
                    <w:jc w:val="center"/>
                  </w:pPr>
                  <w:r>
                    <w:t>PP</w:t>
                  </w:r>
                </w:p>
              </w:tc>
              <w:tc>
                <w:tcPr>
                  <w:tcW w:w="1174" w:type="dxa"/>
                  <w:vAlign w:val="center"/>
                </w:tcPr>
                <w:p w14:paraId="58E021CA" w14:textId="77777777" w:rsidR="00BF4AB1" w:rsidRDefault="00BF4AB1" w:rsidP="00BF4AB1">
                  <w:pPr>
                    <w:jc w:val="center"/>
                  </w:pPr>
                  <w:r>
                    <w:t>Non-PP</w:t>
                  </w:r>
                </w:p>
              </w:tc>
            </w:tr>
            <w:tr w:rsidR="00BF4AB1" w14:paraId="472AE10F" w14:textId="77777777" w:rsidTr="007C0183">
              <w:tc>
                <w:tcPr>
                  <w:tcW w:w="1974" w:type="dxa"/>
                </w:tcPr>
                <w:p w14:paraId="43931BA2" w14:textId="77777777" w:rsidR="00BF4AB1" w:rsidRDefault="00BF4AB1" w:rsidP="00BF4AB1">
                  <w:pPr>
                    <w:jc w:val="center"/>
                  </w:pPr>
                  <w:r>
                    <w:t>Combined</w:t>
                  </w:r>
                </w:p>
              </w:tc>
              <w:tc>
                <w:tcPr>
                  <w:tcW w:w="1173" w:type="dxa"/>
                  <w:vAlign w:val="center"/>
                </w:tcPr>
                <w:p w14:paraId="7D97E8CB" w14:textId="77777777" w:rsidR="00BF4AB1" w:rsidRDefault="00BF4AB1" w:rsidP="00BF4AB1">
                  <w:pPr>
                    <w:spacing w:after="0" w:line="240" w:lineRule="auto"/>
                    <w:jc w:val="center"/>
                  </w:pPr>
                  <w:r>
                    <w:t>12.5%</w:t>
                  </w:r>
                </w:p>
              </w:tc>
              <w:tc>
                <w:tcPr>
                  <w:tcW w:w="1174" w:type="dxa"/>
                  <w:vAlign w:val="center"/>
                </w:tcPr>
                <w:p w14:paraId="47CAB6DF" w14:textId="77777777" w:rsidR="00BF4AB1" w:rsidRDefault="00BF4AB1" w:rsidP="00BF4AB1">
                  <w:pPr>
                    <w:jc w:val="center"/>
                  </w:pPr>
                  <w:r>
                    <w:t>50%</w:t>
                  </w:r>
                </w:p>
              </w:tc>
              <w:tc>
                <w:tcPr>
                  <w:tcW w:w="1173" w:type="dxa"/>
                  <w:vAlign w:val="center"/>
                </w:tcPr>
                <w:p w14:paraId="46D65E0E" w14:textId="77777777" w:rsidR="00BF4AB1" w:rsidRDefault="00BF4AB1" w:rsidP="00BF4AB1">
                  <w:pPr>
                    <w:spacing w:after="0" w:line="240" w:lineRule="auto"/>
                    <w:jc w:val="center"/>
                  </w:pPr>
                  <w:r>
                    <w:t>20%</w:t>
                  </w:r>
                </w:p>
              </w:tc>
              <w:tc>
                <w:tcPr>
                  <w:tcW w:w="1174" w:type="dxa"/>
                  <w:vAlign w:val="center"/>
                </w:tcPr>
                <w:p w14:paraId="28E31F25" w14:textId="77777777" w:rsidR="00BF4AB1" w:rsidRDefault="00BF4AB1" w:rsidP="00BF4AB1">
                  <w:pPr>
                    <w:jc w:val="center"/>
                  </w:pPr>
                  <w:r>
                    <w:t>35%</w:t>
                  </w:r>
                </w:p>
              </w:tc>
              <w:tc>
                <w:tcPr>
                  <w:tcW w:w="1174" w:type="dxa"/>
                  <w:vAlign w:val="center"/>
                </w:tcPr>
                <w:p w14:paraId="2C2EA309" w14:textId="77777777" w:rsidR="00BF4AB1" w:rsidRDefault="00BF4AB1" w:rsidP="00BF4AB1">
                  <w:pPr>
                    <w:spacing w:after="0" w:line="240" w:lineRule="auto"/>
                    <w:jc w:val="center"/>
                  </w:pPr>
                  <w:r>
                    <w:t>77.8%</w:t>
                  </w:r>
                </w:p>
              </w:tc>
              <w:tc>
                <w:tcPr>
                  <w:tcW w:w="1174" w:type="dxa"/>
                  <w:vAlign w:val="center"/>
                </w:tcPr>
                <w:p w14:paraId="14316CE2" w14:textId="77777777" w:rsidR="00BF4AB1" w:rsidRDefault="00BF4AB1" w:rsidP="00BF4AB1">
                  <w:pPr>
                    <w:jc w:val="center"/>
                  </w:pPr>
                  <w:r>
                    <w:t>61.9%</w:t>
                  </w:r>
                </w:p>
              </w:tc>
            </w:tr>
            <w:tr w:rsidR="00BF4AB1" w14:paraId="703851EF" w14:textId="77777777" w:rsidTr="007C0183">
              <w:tc>
                <w:tcPr>
                  <w:tcW w:w="1974" w:type="dxa"/>
                </w:tcPr>
                <w:p w14:paraId="5308D6D0" w14:textId="77777777" w:rsidR="00BF4AB1" w:rsidRDefault="00BF4AB1" w:rsidP="00BF4AB1">
                  <w:pPr>
                    <w:jc w:val="center"/>
                  </w:pPr>
                  <w:r>
                    <w:t>Reading</w:t>
                  </w:r>
                </w:p>
              </w:tc>
              <w:tc>
                <w:tcPr>
                  <w:tcW w:w="1173" w:type="dxa"/>
                  <w:vAlign w:val="center"/>
                </w:tcPr>
                <w:p w14:paraId="1525C5A7" w14:textId="77777777" w:rsidR="00BF4AB1" w:rsidRDefault="00BF4AB1" w:rsidP="00BF4AB1">
                  <w:pPr>
                    <w:spacing w:after="0" w:line="240" w:lineRule="auto"/>
                    <w:jc w:val="center"/>
                  </w:pPr>
                  <w:r>
                    <w:t>50%</w:t>
                  </w:r>
                </w:p>
              </w:tc>
              <w:tc>
                <w:tcPr>
                  <w:tcW w:w="1174" w:type="dxa"/>
                  <w:vAlign w:val="center"/>
                </w:tcPr>
                <w:p w14:paraId="651C5435" w14:textId="77777777" w:rsidR="00BF4AB1" w:rsidRDefault="00BF4AB1" w:rsidP="00BF4AB1">
                  <w:pPr>
                    <w:jc w:val="center"/>
                  </w:pPr>
                  <w:r>
                    <w:t>59.1%</w:t>
                  </w:r>
                </w:p>
              </w:tc>
              <w:tc>
                <w:tcPr>
                  <w:tcW w:w="1173" w:type="dxa"/>
                  <w:vAlign w:val="center"/>
                </w:tcPr>
                <w:p w14:paraId="0AD76C78" w14:textId="77777777" w:rsidR="00BF4AB1" w:rsidRDefault="00BF4AB1" w:rsidP="00BF4AB1">
                  <w:pPr>
                    <w:spacing w:after="0" w:line="240" w:lineRule="auto"/>
                    <w:jc w:val="center"/>
                  </w:pPr>
                  <w:r>
                    <w:t>30%</w:t>
                  </w:r>
                </w:p>
              </w:tc>
              <w:tc>
                <w:tcPr>
                  <w:tcW w:w="1174" w:type="dxa"/>
                  <w:vAlign w:val="center"/>
                </w:tcPr>
                <w:p w14:paraId="0568EAB3" w14:textId="77777777" w:rsidR="00BF4AB1" w:rsidRDefault="00BF4AB1" w:rsidP="00BF4AB1">
                  <w:pPr>
                    <w:jc w:val="center"/>
                  </w:pPr>
                  <w:r>
                    <w:t>45%</w:t>
                  </w:r>
                </w:p>
              </w:tc>
              <w:tc>
                <w:tcPr>
                  <w:tcW w:w="1174" w:type="dxa"/>
                  <w:vAlign w:val="center"/>
                </w:tcPr>
                <w:p w14:paraId="250083DC" w14:textId="77777777" w:rsidR="00BF4AB1" w:rsidRDefault="00BF4AB1" w:rsidP="00BF4AB1">
                  <w:pPr>
                    <w:spacing w:after="0" w:line="240" w:lineRule="auto"/>
                    <w:jc w:val="center"/>
                  </w:pPr>
                  <w:r>
                    <w:t>88.9%</w:t>
                  </w:r>
                </w:p>
              </w:tc>
              <w:tc>
                <w:tcPr>
                  <w:tcW w:w="1174" w:type="dxa"/>
                  <w:vAlign w:val="center"/>
                </w:tcPr>
                <w:p w14:paraId="1FCF568E" w14:textId="77777777" w:rsidR="00BF4AB1" w:rsidRDefault="00BF4AB1" w:rsidP="00BF4AB1">
                  <w:pPr>
                    <w:jc w:val="center"/>
                  </w:pPr>
                  <w:r>
                    <w:t>71.4%</w:t>
                  </w:r>
                </w:p>
              </w:tc>
            </w:tr>
            <w:tr w:rsidR="00BF4AB1" w14:paraId="737712FF" w14:textId="77777777" w:rsidTr="007C0183">
              <w:tc>
                <w:tcPr>
                  <w:tcW w:w="1974" w:type="dxa"/>
                </w:tcPr>
                <w:p w14:paraId="3BAC418C" w14:textId="77777777" w:rsidR="00BF4AB1" w:rsidRDefault="00BF4AB1" w:rsidP="00BF4AB1">
                  <w:pPr>
                    <w:jc w:val="center"/>
                  </w:pPr>
                  <w:r>
                    <w:t>Writing</w:t>
                  </w:r>
                </w:p>
              </w:tc>
              <w:tc>
                <w:tcPr>
                  <w:tcW w:w="1173" w:type="dxa"/>
                  <w:vAlign w:val="center"/>
                </w:tcPr>
                <w:p w14:paraId="5A5B7E49" w14:textId="77777777" w:rsidR="00BF4AB1" w:rsidRDefault="00BF4AB1" w:rsidP="00BF4AB1">
                  <w:pPr>
                    <w:spacing w:after="0" w:line="240" w:lineRule="auto"/>
                    <w:jc w:val="center"/>
                  </w:pPr>
                  <w:r>
                    <w:t>50%</w:t>
                  </w:r>
                </w:p>
              </w:tc>
              <w:tc>
                <w:tcPr>
                  <w:tcW w:w="1174" w:type="dxa"/>
                  <w:vAlign w:val="center"/>
                </w:tcPr>
                <w:p w14:paraId="03089BFA" w14:textId="77777777" w:rsidR="00BF4AB1" w:rsidRDefault="00BF4AB1" w:rsidP="00BF4AB1">
                  <w:pPr>
                    <w:jc w:val="center"/>
                  </w:pPr>
                  <w:r>
                    <w:t>86.4%</w:t>
                  </w:r>
                </w:p>
              </w:tc>
              <w:tc>
                <w:tcPr>
                  <w:tcW w:w="1173" w:type="dxa"/>
                  <w:vAlign w:val="center"/>
                </w:tcPr>
                <w:p w14:paraId="7C54770B" w14:textId="77777777" w:rsidR="00BF4AB1" w:rsidRDefault="00BF4AB1" w:rsidP="00BF4AB1">
                  <w:pPr>
                    <w:spacing w:after="0" w:line="240" w:lineRule="auto"/>
                    <w:jc w:val="center"/>
                  </w:pPr>
                  <w:r>
                    <w:t>50%</w:t>
                  </w:r>
                </w:p>
              </w:tc>
              <w:tc>
                <w:tcPr>
                  <w:tcW w:w="1174" w:type="dxa"/>
                  <w:vAlign w:val="center"/>
                </w:tcPr>
                <w:p w14:paraId="4F67EE2A" w14:textId="77777777" w:rsidR="00BF4AB1" w:rsidRDefault="00BF4AB1" w:rsidP="00BF4AB1">
                  <w:pPr>
                    <w:jc w:val="center"/>
                  </w:pPr>
                  <w:r>
                    <w:t>65%</w:t>
                  </w:r>
                </w:p>
              </w:tc>
              <w:tc>
                <w:tcPr>
                  <w:tcW w:w="1174" w:type="dxa"/>
                  <w:vAlign w:val="center"/>
                </w:tcPr>
                <w:p w14:paraId="612893E7" w14:textId="77777777" w:rsidR="00BF4AB1" w:rsidRDefault="00BF4AB1" w:rsidP="00BF4AB1">
                  <w:pPr>
                    <w:spacing w:after="0" w:line="240" w:lineRule="auto"/>
                    <w:jc w:val="center"/>
                  </w:pPr>
                  <w:r>
                    <w:t>77.8%</w:t>
                  </w:r>
                </w:p>
              </w:tc>
              <w:tc>
                <w:tcPr>
                  <w:tcW w:w="1174" w:type="dxa"/>
                  <w:vAlign w:val="center"/>
                </w:tcPr>
                <w:p w14:paraId="6CBEEC2B" w14:textId="77777777" w:rsidR="00BF4AB1" w:rsidRDefault="00BF4AB1" w:rsidP="00BF4AB1">
                  <w:pPr>
                    <w:jc w:val="center"/>
                  </w:pPr>
                  <w:r>
                    <w:t>71.4%</w:t>
                  </w:r>
                </w:p>
              </w:tc>
            </w:tr>
            <w:tr w:rsidR="00BF4AB1" w14:paraId="26CB835D" w14:textId="77777777" w:rsidTr="007C0183">
              <w:tc>
                <w:tcPr>
                  <w:tcW w:w="1974" w:type="dxa"/>
                </w:tcPr>
                <w:p w14:paraId="3A20B7B3" w14:textId="77777777" w:rsidR="00BF4AB1" w:rsidRDefault="00BF4AB1" w:rsidP="00BF4AB1">
                  <w:pPr>
                    <w:jc w:val="center"/>
                  </w:pPr>
                  <w:r>
                    <w:t>Maths</w:t>
                  </w:r>
                </w:p>
              </w:tc>
              <w:tc>
                <w:tcPr>
                  <w:tcW w:w="1173" w:type="dxa"/>
                  <w:vAlign w:val="center"/>
                </w:tcPr>
                <w:p w14:paraId="143419A2" w14:textId="77777777" w:rsidR="00BF4AB1" w:rsidRDefault="00BF4AB1" w:rsidP="00BF4AB1">
                  <w:pPr>
                    <w:spacing w:after="0" w:line="240" w:lineRule="auto"/>
                    <w:jc w:val="center"/>
                  </w:pPr>
                  <w:r>
                    <w:t>37.5%</w:t>
                  </w:r>
                </w:p>
              </w:tc>
              <w:tc>
                <w:tcPr>
                  <w:tcW w:w="1174" w:type="dxa"/>
                  <w:vAlign w:val="center"/>
                </w:tcPr>
                <w:p w14:paraId="2DC819E5" w14:textId="77777777" w:rsidR="00BF4AB1" w:rsidRDefault="00BF4AB1" w:rsidP="00BF4AB1">
                  <w:pPr>
                    <w:jc w:val="center"/>
                  </w:pPr>
                  <w:r>
                    <w:t>63.6%</w:t>
                  </w:r>
                </w:p>
              </w:tc>
              <w:tc>
                <w:tcPr>
                  <w:tcW w:w="1173" w:type="dxa"/>
                  <w:vAlign w:val="center"/>
                </w:tcPr>
                <w:p w14:paraId="709628F3" w14:textId="77777777" w:rsidR="00BF4AB1" w:rsidRDefault="00BF4AB1" w:rsidP="00BF4AB1">
                  <w:pPr>
                    <w:spacing w:after="0" w:line="240" w:lineRule="auto"/>
                    <w:jc w:val="center"/>
                  </w:pPr>
                  <w:r>
                    <w:t>50%</w:t>
                  </w:r>
                </w:p>
              </w:tc>
              <w:tc>
                <w:tcPr>
                  <w:tcW w:w="1174" w:type="dxa"/>
                  <w:vAlign w:val="center"/>
                </w:tcPr>
                <w:p w14:paraId="4BADEC69" w14:textId="77777777" w:rsidR="00BF4AB1" w:rsidRDefault="00BF4AB1" w:rsidP="00BF4AB1">
                  <w:pPr>
                    <w:jc w:val="center"/>
                  </w:pPr>
                  <w:r>
                    <w:t>45%</w:t>
                  </w:r>
                </w:p>
              </w:tc>
              <w:tc>
                <w:tcPr>
                  <w:tcW w:w="1174" w:type="dxa"/>
                  <w:vAlign w:val="center"/>
                </w:tcPr>
                <w:p w14:paraId="6A5354FA" w14:textId="77777777" w:rsidR="00BF4AB1" w:rsidRDefault="00BF4AB1" w:rsidP="00BF4AB1">
                  <w:pPr>
                    <w:spacing w:after="0" w:line="240" w:lineRule="auto"/>
                    <w:jc w:val="center"/>
                  </w:pPr>
                  <w:r>
                    <w:t>88.9%</w:t>
                  </w:r>
                </w:p>
              </w:tc>
              <w:tc>
                <w:tcPr>
                  <w:tcW w:w="1174" w:type="dxa"/>
                  <w:vAlign w:val="center"/>
                </w:tcPr>
                <w:p w14:paraId="19EFFD0C" w14:textId="77777777" w:rsidR="00BF4AB1" w:rsidRDefault="00BF4AB1" w:rsidP="00BF4AB1">
                  <w:pPr>
                    <w:jc w:val="center"/>
                  </w:pPr>
                  <w:r>
                    <w:t>76.2%</w:t>
                  </w:r>
                </w:p>
              </w:tc>
            </w:tr>
          </w:tbl>
          <w:p w14:paraId="13215DF0" w14:textId="301DB1D9" w:rsidR="00BF4AB1" w:rsidRDefault="00BF4AB1" w:rsidP="00971283">
            <w:pPr>
              <w:rPr>
                <w:lang w:eastAsia="en-US"/>
              </w:rPr>
            </w:pPr>
            <w:r>
              <w:rPr>
                <w:lang w:eastAsia="en-US"/>
              </w:rPr>
              <w:t xml:space="preserve">There are larger numbers of disadvantaged </w:t>
            </w:r>
            <w:r w:rsidR="008F09E6">
              <w:rPr>
                <w:lang w:eastAsia="en-US"/>
              </w:rPr>
              <w:t>children in KS2.</w:t>
            </w:r>
          </w:p>
          <w:p w14:paraId="7972ED11" w14:textId="77777777" w:rsidR="008F09E6" w:rsidRDefault="008F09E6" w:rsidP="00971283">
            <w:pPr>
              <w:rPr>
                <w:lang w:eastAsia="en-US"/>
              </w:rPr>
            </w:pPr>
          </w:p>
          <w:p w14:paraId="437F65DA" w14:textId="6ABE31B6" w:rsidR="008F09E6" w:rsidRDefault="008F09E6" w:rsidP="00971283">
            <w:pPr>
              <w:rPr>
                <w:b/>
                <w:bCs/>
                <w:u w:val="single"/>
                <w:lang w:eastAsia="en-US"/>
              </w:rPr>
            </w:pPr>
            <w:r w:rsidRPr="008F09E6">
              <w:rPr>
                <w:b/>
                <w:bCs/>
                <w:u w:val="single"/>
                <w:lang w:eastAsia="en-US"/>
              </w:rPr>
              <w:t>Attendance</w:t>
            </w:r>
          </w:p>
          <w:p w14:paraId="2E826703" w14:textId="7723A9A1" w:rsidR="008F09E6" w:rsidRDefault="008F09E6" w:rsidP="00971283">
            <w:pPr>
              <w:rPr>
                <w:lang w:eastAsia="en-US"/>
              </w:rPr>
            </w:pPr>
            <w:r>
              <w:rPr>
                <w:lang w:eastAsia="en-US"/>
              </w:rPr>
              <w:t>Attendance data shows the overall percentage for attendance for last year was:</w:t>
            </w:r>
          </w:p>
          <w:p w14:paraId="7025C940" w14:textId="25ED2ED2" w:rsidR="008F09E6" w:rsidRDefault="008F09E6" w:rsidP="00971283">
            <w:pPr>
              <w:rPr>
                <w:lang w:eastAsia="en-US"/>
              </w:rPr>
            </w:pPr>
            <w:r>
              <w:rPr>
                <w:lang w:eastAsia="en-US"/>
              </w:rPr>
              <w:t>Disadvantaged children = 93.23%</w:t>
            </w:r>
          </w:p>
          <w:p w14:paraId="42614D57" w14:textId="4969C2BA" w:rsidR="008F09E6" w:rsidRDefault="008F09E6" w:rsidP="00971283">
            <w:pPr>
              <w:rPr>
                <w:lang w:eastAsia="en-US"/>
              </w:rPr>
            </w:pPr>
            <w:r>
              <w:rPr>
                <w:lang w:eastAsia="en-US"/>
              </w:rPr>
              <w:t>Non-disadvantaged = 95.56%</w:t>
            </w:r>
          </w:p>
          <w:p w14:paraId="7AB533E8" w14:textId="1771B929" w:rsidR="008F09E6" w:rsidRDefault="008F09E6" w:rsidP="00971283">
            <w:pPr>
              <w:rPr>
                <w:lang w:eastAsia="en-US"/>
              </w:rPr>
            </w:pPr>
            <w:r>
              <w:rPr>
                <w:lang w:eastAsia="en-US"/>
              </w:rPr>
              <w:t>The disadvantaged data is lower than the non-disadvantaged.</w:t>
            </w:r>
          </w:p>
          <w:p w14:paraId="263F5E4A" w14:textId="3BBECA0E" w:rsidR="008F09E6" w:rsidRDefault="008F09E6" w:rsidP="00971283">
            <w:pPr>
              <w:rPr>
                <w:b/>
                <w:bCs/>
                <w:u w:val="single"/>
                <w:lang w:eastAsia="en-US"/>
              </w:rPr>
            </w:pPr>
            <w:r>
              <w:rPr>
                <w:b/>
                <w:bCs/>
                <w:u w:val="single"/>
                <w:lang w:eastAsia="en-US"/>
              </w:rPr>
              <w:t>Lates</w:t>
            </w:r>
          </w:p>
          <w:p w14:paraId="20ACC2F4" w14:textId="49291846" w:rsidR="008F09E6" w:rsidRDefault="008F09E6" w:rsidP="00971283">
            <w:pPr>
              <w:rPr>
                <w:lang w:eastAsia="en-US"/>
              </w:rPr>
            </w:pPr>
            <w:r>
              <w:rPr>
                <w:lang w:eastAsia="en-US"/>
              </w:rPr>
              <w:t>Late data shows the overall percentage of lates for last year was:</w:t>
            </w:r>
          </w:p>
          <w:p w14:paraId="1BCAA0F8" w14:textId="3E836F81" w:rsidR="008F09E6" w:rsidRDefault="008F09E6" w:rsidP="00971283">
            <w:pPr>
              <w:rPr>
                <w:lang w:eastAsia="en-US"/>
              </w:rPr>
            </w:pPr>
            <w:r>
              <w:rPr>
                <w:lang w:eastAsia="en-US"/>
              </w:rPr>
              <w:t>Disadvantaged children = 3.42%</w:t>
            </w:r>
          </w:p>
          <w:p w14:paraId="2C4D4281" w14:textId="16DD98D2" w:rsidR="008F09E6" w:rsidRDefault="008F09E6" w:rsidP="00971283">
            <w:pPr>
              <w:rPr>
                <w:lang w:eastAsia="en-US"/>
              </w:rPr>
            </w:pPr>
            <w:r>
              <w:rPr>
                <w:lang w:eastAsia="en-US"/>
              </w:rPr>
              <w:t>Non-disadvantaged = 0.85%</w:t>
            </w:r>
          </w:p>
          <w:p w14:paraId="11A6789C" w14:textId="5A0B11A6" w:rsidR="008F09E6" w:rsidRDefault="008F09E6" w:rsidP="00971283">
            <w:pPr>
              <w:rPr>
                <w:b/>
                <w:bCs/>
                <w:u w:val="single"/>
                <w:lang w:eastAsia="en-US"/>
              </w:rPr>
            </w:pPr>
            <w:r>
              <w:rPr>
                <w:b/>
                <w:bCs/>
                <w:u w:val="single"/>
                <w:lang w:eastAsia="en-US"/>
              </w:rPr>
              <w:t>Extra-curricular</w:t>
            </w:r>
          </w:p>
          <w:p w14:paraId="1F6F3ECE" w14:textId="16CB9806" w:rsidR="008F09E6" w:rsidRDefault="008F09E6" w:rsidP="00971283">
            <w:pPr>
              <w:rPr>
                <w:lang w:eastAsia="en-US"/>
              </w:rPr>
            </w:pPr>
            <w:r>
              <w:rPr>
                <w:lang w:eastAsia="en-US"/>
              </w:rPr>
              <w:t xml:space="preserve">Over 50% of attendees in our after-school clubs and extra-curricular </w:t>
            </w:r>
            <w:r w:rsidR="002864A7">
              <w:rPr>
                <w:lang w:eastAsia="en-US"/>
              </w:rPr>
              <w:t>activities are disadvantaged.</w:t>
            </w:r>
          </w:p>
          <w:p w14:paraId="12577AC4" w14:textId="3863C345" w:rsidR="002864A7" w:rsidRDefault="002864A7" w:rsidP="00971283">
            <w:pPr>
              <w:rPr>
                <w:b/>
                <w:bCs/>
                <w:u w:val="single"/>
                <w:lang w:eastAsia="en-US"/>
              </w:rPr>
            </w:pPr>
            <w:r>
              <w:rPr>
                <w:b/>
                <w:bCs/>
                <w:u w:val="single"/>
                <w:lang w:eastAsia="en-US"/>
              </w:rPr>
              <w:t>Pastoral Support</w:t>
            </w:r>
          </w:p>
          <w:p w14:paraId="4F8E0F5D" w14:textId="5315709C" w:rsidR="002864A7" w:rsidRPr="002864A7" w:rsidRDefault="002864A7" w:rsidP="00971283">
            <w:pPr>
              <w:rPr>
                <w:lang w:eastAsia="en-US"/>
              </w:rPr>
            </w:pPr>
            <w:r>
              <w:rPr>
                <w:lang w:eastAsia="en-US"/>
              </w:rPr>
              <w:t xml:space="preserve">Pastoral support has been provided for all disadvantaged pupils who need the support.  TA’s have been trained in lego therapy.  Disadvantaged who require 1-1 emotional support have been targeted and improvements in emotional regulation has been seen.  </w:t>
            </w:r>
            <w:r>
              <w:rPr>
                <w:lang w:eastAsia="en-US"/>
              </w:rPr>
              <w:lastRenderedPageBreak/>
              <w:t>Boxall profiles are completed for all children who are identified as possibly needing SEMH support and appropriate support provided with the Boxall repeated at regular intervals.  All Boxalls show progress.</w:t>
            </w:r>
          </w:p>
          <w:p w14:paraId="60ACF330" w14:textId="77777777" w:rsidR="008F09E6" w:rsidRPr="008F09E6" w:rsidRDefault="008F09E6" w:rsidP="00971283">
            <w:pPr>
              <w:rPr>
                <w:lang w:eastAsia="en-US"/>
              </w:rPr>
            </w:pPr>
          </w:p>
          <w:p w14:paraId="2A7D5546" w14:textId="7BB8A654" w:rsidR="00220984" w:rsidRPr="00220984" w:rsidRDefault="00220984" w:rsidP="00971283">
            <w:pPr>
              <w:rPr>
                <w:color w:val="0070C0"/>
                <w:lang w:eastAsia="en-US"/>
              </w:rPr>
            </w:pPr>
          </w:p>
        </w:tc>
      </w:tr>
    </w:tbl>
    <w:p w14:paraId="0DACC330" w14:textId="77777777" w:rsidR="00F61AC4" w:rsidRDefault="00F61AC4" w:rsidP="00971283"/>
    <w:p w14:paraId="2D4D959E" w14:textId="77777777" w:rsidR="00F61AC4" w:rsidRDefault="00F61AC4" w:rsidP="00971283"/>
    <w:p w14:paraId="6575B32B" w14:textId="77777777" w:rsidR="00F61AC4" w:rsidRDefault="00F61AC4" w:rsidP="00971283"/>
    <w:p w14:paraId="2A7D5549" w14:textId="14719BE1" w:rsidR="00E66558" w:rsidRPr="00855932" w:rsidRDefault="009D71E8" w:rsidP="00971283">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rsidP="00971283">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rsidP="00971283">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606D03BF" w:rsidR="00E66558" w:rsidRPr="006549E7" w:rsidRDefault="00655263" w:rsidP="00971283">
            <w:pPr>
              <w:rPr>
                <w:color w:val="0070C0"/>
              </w:rPr>
            </w:pPr>
            <w:r>
              <w:rPr>
                <w:color w:val="0070C0"/>
              </w:rPr>
              <w:t>Sports programmes including extra curricular activities.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6A13B8E6" w:rsidR="00E66558" w:rsidRPr="006549E7" w:rsidRDefault="00655263" w:rsidP="00971283">
            <w:pPr>
              <w:rPr>
                <w:color w:val="0070C0"/>
              </w:rPr>
            </w:pPr>
            <w:r>
              <w:rPr>
                <w:color w:val="0070C0"/>
              </w:rPr>
              <w:t>Wigan Latics.  This is funded by the Sports Premium Grant.</w:t>
            </w:r>
          </w:p>
        </w:tc>
      </w:tr>
      <w:tr w:rsidR="00E27862" w14:paraId="06B2BD7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F1FDD" w14:textId="77777777" w:rsidR="00E27862" w:rsidRPr="006549E7" w:rsidRDefault="00E27862" w:rsidP="00971283">
            <w:pPr>
              <w:rPr>
                <w:color w:val="0070C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61EA7" w14:textId="77777777" w:rsidR="00E27862" w:rsidRPr="006549E7" w:rsidRDefault="00E27862" w:rsidP="00971283">
            <w:pPr>
              <w:rPr>
                <w:color w:val="0070C0"/>
              </w:rPr>
            </w:pPr>
          </w:p>
        </w:tc>
      </w:tr>
    </w:tbl>
    <w:p w14:paraId="42B2B9F8" w14:textId="23889DC8" w:rsidR="00B02027" w:rsidRDefault="00394F2A" w:rsidP="00971283">
      <w:r>
        <w:t>Further information</w:t>
      </w:r>
    </w:p>
    <w:tbl>
      <w:tblPr>
        <w:tblW w:w="9486" w:type="dxa"/>
        <w:tblCellMar>
          <w:left w:w="10" w:type="dxa"/>
          <w:right w:w="10" w:type="dxa"/>
        </w:tblCellMar>
        <w:tblLook w:val="04A0" w:firstRow="1" w:lastRow="0" w:firstColumn="1" w:lastColumn="0" w:noHBand="0" w:noVBand="1"/>
      </w:tblPr>
      <w:tblGrid>
        <w:gridCol w:w="9486"/>
      </w:tblGrid>
      <w:tr w:rsidR="00B02027" w14:paraId="650AC305" w14:textId="77777777" w:rsidTr="003529D4">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4D0DC" w14:textId="036F2FA9" w:rsidR="006119D3" w:rsidRPr="00E27862" w:rsidRDefault="006119D3" w:rsidP="00971283">
            <w:pPr>
              <w:rPr>
                <w:rFonts w:cs="Arial"/>
                <w:b/>
                <w:iCs/>
                <w:lang w:eastAsia="en-US"/>
              </w:rPr>
            </w:pPr>
            <w:r w:rsidRPr="00E27862">
              <w:rPr>
                <w:rFonts w:cs="Arial"/>
                <w:b/>
                <w:iCs/>
                <w:lang w:eastAsia="en-US"/>
              </w:rPr>
              <w:t>Additional activity</w:t>
            </w:r>
          </w:p>
          <w:p w14:paraId="4D56DEDC" w14:textId="7688B244" w:rsidR="000605EA" w:rsidRPr="00E27862" w:rsidRDefault="0041678F" w:rsidP="00971283">
            <w:pPr>
              <w:rPr>
                <w:rFonts w:cs="Arial"/>
                <w:iCs/>
                <w:lang w:eastAsia="en-US"/>
              </w:rPr>
            </w:pPr>
            <w:r w:rsidRPr="00E27862">
              <w:rPr>
                <w:rFonts w:cs="Arial"/>
                <w:iCs/>
                <w:lang w:eastAsia="en-US"/>
              </w:rPr>
              <w:t>Our pupil premium strategy</w:t>
            </w:r>
            <w:r w:rsidR="007A4ADF" w:rsidRPr="00E27862">
              <w:rPr>
                <w:rFonts w:cs="Arial"/>
                <w:iCs/>
                <w:lang w:eastAsia="en-US"/>
              </w:rPr>
              <w:t xml:space="preserve"> will be supplemented by additional activity that </w:t>
            </w:r>
            <w:r w:rsidR="00F623A8" w:rsidRPr="00E27862">
              <w:rPr>
                <w:rFonts w:cs="Arial"/>
                <w:iCs/>
                <w:lang w:eastAsia="en-US"/>
              </w:rPr>
              <w:t xml:space="preserve">is </w:t>
            </w:r>
            <w:r w:rsidR="007A4ADF" w:rsidRPr="00E27862">
              <w:rPr>
                <w:rFonts w:cs="Arial"/>
                <w:iCs/>
                <w:lang w:eastAsia="en-US"/>
              </w:rPr>
              <w:t xml:space="preserve">not </w:t>
            </w:r>
            <w:r w:rsidR="00F623A8" w:rsidRPr="00E27862">
              <w:rPr>
                <w:rFonts w:cs="Arial"/>
                <w:iCs/>
                <w:lang w:eastAsia="en-US"/>
              </w:rPr>
              <w:t xml:space="preserve">being </w:t>
            </w:r>
            <w:r w:rsidR="007A4ADF" w:rsidRPr="00E27862">
              <w:rPr>
                <w:rFonts w:cs="Arial"/>
                <w:iCs/>
                <w:lang w:eastAsia="en-US"/>
              </w:rPr>
              <w:t>fund</w:t>
            </w:r>
            <w:r w:rsidR="00D63A88" w:rsidRPr="00E27862">
              <w:rPr>
                <w:rFonts w:cs="Arial"/>
                <w:iCs/>
                <w:lang w:eastAsia="en-US"/>
              </w:rPr>
              <w:t>ed by</w:t>
            </w:r>
            <w:r w:rsidR="007A4ADF" w:rsidRPr="00E27862">
              <w:rPr>
                <w:rFonts w:cs="Arial"/>
                <w:iCs/>
                <w:lang w:eastAsia="en-US"/>
              </w:rPr>
              <w:t xml:space="preserve"> pupil premiu</w:t>
            </w:r>
            <w:r w:rsidR="008B1DFB">
              <w:rPr>
                <w:rFonts w:cs="Arial"/>
                <w:iCs/>
                <w:lang w:eastAsia="en-US"/>
              </w:rPr>
              <w:t>m</w:t>
            </w:r>
            <w:r w:rsidR="007A4ADF" w:rsidRPr="00E27862">
              <w:rPr>
                <w:rFonts w:cs="Arial"/>
                <w:iCs/>
                <w:lang w:eastAsia="en-US"/>
              </w:rPr>
              <w:t>. That will include:</w:t>
            </w:r>
            <w:r w:rsidRPr="00E27862">
              <w:rPr>
                <w:rFonts w:cs="Arial"/>
                <w:iCs/>
                <w:lang w:eastAsia="en-US"/>
              </w:rPr>
              <w:t xml:space="preserve"> </w:t>
            </w:r>
          </w:p>
          <w:p w14:paraId="3FEB08A8" w14:textId="420406ED" w:rsidR="00F848CC" w:rsidRPr="00E27862" w:rsidRDefault="008B1DFB" w:rsidP="00971283">
            <w:pPr>
              <w:rPr>
                <w:rFonts w:cs="Arial"/>
                <w:iCs/>
                <w:lang w:eastAsia="en-US"/>
              </w:rPr>
            </w:pPr>
            <w:r>
              <w:t xml:space="preserve">Continue to support the </w:t>
            </w:r>
            <w:r w:rsidR="00B717A3" w:rsidRPr="00E27862">
              <w:t>train</w:t>
            </w:r>
            <w:r>
              <w:t>ed SMHL</w:t>
            </w:r>
            <w:r w:rsidR="00B717A3" w:rsidRPr="00E27862">
              <w:t xml:space="preserve"> we </w:t>
            </w:r>
            <w:r w:rsidR="00AD0ED7" w:rsidRPr="00E27862">
              <w:t xml:space="preserve">will </w:t>
            </w:r>
            <w:r w:rsidR="00B717A3" w:rsidRPr="00E27862">
              <w:t>focus on</w:t>
            </w:r>
            <w:r w:rsidR="002B06C2" w:rsidRPr="00E27862">
              <w:t xml:space="preserve"> the training needs identified through </w:t>
            </w:r>
            <w:r w:rsidR="004C4A58" w:rsidRPr="00E27862">
              <w:t>the online tool: to</w:t>
            </w:r>
            <w:r w:rsidR="00AD0ED7" w:rsidRPr="00E27862">
              <w:t xml:space="preserve"> develop our understanding of our pupils</w:t>
            </w:r>
            <w:r w:rsidR="00047D6A" w:rsidRPr="00E27862">
              <w:t>’</w:t>
            </w:r>
            <w:r w:rsidR="00225919" w:rsidRPr="00E27862">
              <w:t xml:space="preserve"> needs</w:t>
            </w:r>
            <w:r w:rsidR="00AD0ED7" w:rsidRPr="00E27862">
              <w:t xml:space="preserve">, give </w:t>
            </w:r>
            <w:r w:rsidR="00FD01FC" w:rsidRPr="00E27862">
              <w:t>pupils</w:t>
            </w:r>
            <w:r w:rsidR="00AD0ED7" w:rsidRPr="00E27862">
              <w:t xml:space="preserve"> a voice in how we address wellbeing</w:t>
            </w:r>
            <w:r w:rsidR="00CA2299" w:rsidRPr="00E27862">
              <w:t>,</w:t>
            </w:r>
            <w:r w:rsidR="00AD0ED7" w:rsidRPr="00E27862">
              <w:t xml:space="preserve"> and support more effective collaboration with parents.</w:t>
            </w:r>
          </w:p>
          <w:p w14:paraId="29F436F8" w14:textId="7A9DB067" w:rsidR="00DF573B" w:rsidRPr="00E27862" w:rsidRDefault="002864A7" w:rsidP="00971283">
            <w:pPr>
              <w:rPr>
                <w:rFonts w:cs="Arial"/>
                <w:iCs/>
                <w:lang w:eastAsia="en-US"/>
              </w:rPr>
            </w:pPr>
            <w:r>
              <w:rPr>
                <w:rFonts w:cs="Arial"/>
                <w:iCs/>
                <w:lang w:eastAsia="en-US"/>
              </w:rPr>
              <w:t>O</w:t>
            </w:r>
            <w:r w:rsidR="00DF573B" w:rsidRPr="00E27862">
              <w:rPr>
                <w:rFonts w:cs="Arial"/>
                <w:iCs/>
                <w:lang w:eastAsia="en-US"/>
              </w:rPr>
              <w:t xml:space="preserve">ffering </w:t>
            </w:r>
            <w:r w:rsidR="00E848AA" w:rsidRPr="00E27862">
              <w:rPr>
                <w:rFonts w:cs="Arial"/>
                <w:iCs/>
                <w:lang w:eastAsia="en-US"/>
              </w:rPr>
              <w:t>a wide range of high-quality</w:t>
            </w:r>
            <w:r w:rsidR="00DF573B" w:rsidRPr="00E27862">
              <w:rPr>
                <w:rFonts w:cs="Arial"/>
                <w:iCs/>
                <w:lang w:eastAsia="en-US"/>
              </w:rPr>
              <w:t xml:space="preserve"> extracurricular activities to boost wellbeing, behaviour</w:t>
            </w:r>
            <w:r w:rsidR="00A05B89" w:rsidRPr="00E27862">
              <w:rPr>
                <w:rFonts w:cs="Arial"/>
                <w:iCs/>
                <w:lang w:eastAsia="en-US"/>
              </w:rPr>
              <w:t xml:space="preserve">, </w:t>
            </w:r>
            <w:r w:rsidR="00DF573B" w:rsidRPr="00E27862">
              <w:rPr>
                <w:rFonts w:cs="Arial"/>
                <w:iCs/>
                <w:lang w:eastAsia="en-US"/>
              </w:rPr>
              <w:t>attendance</w:t>
            </w:r>
            <w:r w:rsidR="00A94C31" w:rsidRPr="00E27862">
              <w:rPr>
                <w:rFonts w:cs="Arial"/>
                <w:iCs/>
                <w:lang w:eastAsia="en-US"/>
              </w:rPr>
              <w:t>,</w:t>
            </w:r>
            <w:r w:rsidR="00A05B89" w:rsidRPr="00E27862">
              <w:rPr>
                <w:rFonts w:cs="Arial"/>
                <w:iCs/>
                <w:lang w:eastAsia="en-US"/>
              </w:rPr>
              <w:t xml:space="preserve"> and aspir</w:t>
            </w:r>
            <w:r w:rsidR="00A94C31" w:rsidRPr="00E27862">
              <w:rPr>
                <w:rFonts w:cs="Arial"/>
                <w:iCs/>
                <w:lang w:eastAsia="en-US"/>
              </w:rPr>
              <w:t>ation</w:t>
            </w:r>
            <w:r w:rsidR="00DF573B" w:rsidRPr="00E27862">
              <w:rPr>
                <w:rFonts w:cs="Arial"/>
                <w:iCs/>
                <w:lang w:eastAsia="en-US"/>
              </w:rPr>
              <w:t>. Activit</w:t>
            </w:r>
            <w:r w:rsidR="008A336B" w:rsidRPr="00E27862">
              <w:rPr>
                <w:rFonts w:cs="Arial"/>
                <w:iCs/>
                <w:lang w:eastAsia="en-US"/>
              </w:rPr>
              <w:t>ies</w:t>
            </w:r>
            <w:r w:rsidR="00DF573B" w:rsidRPr="00E27862">
              <w:rPr>
                <w:rFonts w:cs="Arial"/>
                <w:iCs/>
                <w:lang w:eastAsia="en-US"/>
              </w:rPr>
              <w:t xml:space="preserve"> will focus on building life skills such as confidence, resilience, and socialising. Disadvantaged pupils will be encouraged</w:t>
            </w:r>
            <w:r w:rsidR="00FD01FC" w:rsidRPr="00E27862">
              <w:rPr>
                <w:rFonts w:cs="Arial"/>
                <w:iCs/>
                <w:lang w:eastAsia="en-US"/>
              </w:rPr>
              <w:t xml:space="preserve"> and supported</w:t>
            </w:r>
            <w:r w:rsidR="00DF573B" w:rsidRPr="00E27862">
              <w:rPr>
                <w:rFonts w:cs="Arial"/>
                <w:iCs/>
                <w:lang w:eastAsia="en-US"/>
              </w:rPr>
              <w:t xml:space="preserve"> to participate.</w:t>
            </w:r>
          </w:p>
          <w:p w14:paraId="40144794" w14:textId="4916F1B9" w:rsidR="00B02027" w:rsidRPr="00B77968" w:rsidRDefault="00B02027" w:rsidP="00971283">
            <w:pPr>
              <w:rPr>
                <w:sz w:val="28"/>
                <w:szCs w:val="28"/>
              </w:rPr>
            </w:pPr>
          </w:p>
        </w:tc>
      </w:tr>
      <w:bookmarkEnd w:id="12"/>
      <w:bookmarkEnd w:id="13"/>
      <w:bookmarkEnd w:id="14"/>
    </w:tbl>
    <w:p w14:paraId="2A7D555F" w14:textId="77777777" w:rsidR="00E66558" w:rsidRDefault="00E66558" w:rsidP="00971283"/>
    <w:sectPr w:rsidR="00E66558">
      <w:headerReference w:type="default" r:id="rId26"/>
      <w:footerReference w:type="default" r:id="rId2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5621" w14:textId="77777777" w:rsidR="00E01029" w:rsidRDefault="00E01029">
      <w:pPr>
        <w:spacing w:after="0" w:line="240" w:lineRule="auto"/>
      </w:pPr>
      <w:r>
        <w:separator/>
      </w:r>
    </w:p>
  </w:endnote>
  <w:endnote w:type="continuationSeparator" w:id="0">
    <w:p w14:paraId="73D7D399" w14:textId="77777777" w:rsidR="00E01029" w:rsidRDefault="00E01029">
      <w:pPr>
        <w:spacing w:after="0" w:line="240" w:lineRule="auto"/>
      </w:pPr>
      <w:r>
        <w:continuationSeparator/>
      </w:r>
    </w:p>
  </w:endnote>
  <w:endnote w:type="continuationNotice" w:id="1">
    <w:p w14:paraId="003247C8" w14:textId="77777777" w:rsidR="00E01029" w:rsidRDefault="00E01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36C59F06" w:rsidR="003529D4" w:rsidRDefault="009D71E8">
    <w:pPr>
      <w:pStyle w:val="Footer"/>
      <w:ind w:firstLine="4513"/>
    </w:pPr>
    <w:r>
      <w:fldChar w:fldCharType="begin"/>
    </w:r>
    <w:r>
      <w:instrText xml:space="preserve"> PAGE </w:instrText>
    </w:r>
    <w:r>
      <w:fldChar w:fldCharType="separate"/>
    </w:r>
    <w:r w:rsidR="00CE1C5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89EC" w14:textId="77777777" w:rsidR="00E01029" w:rsidRDefault="00E01029">
      <w:pPr>
        <w:spacing w:after="0" w:line="240" w:lineRule="auto"/>
      </w:pPr>
      <w:r>
        <w:separator/>
      </w:r>
    </w:p>
  </w:footnote>
  <w:footnote w:type="continuationSeparator" w:id="0">
    <w:p w14:paraId="109E8A61" w14:textId="77777777" w:rsidR="00E01029" w:rsidRDefault="00E01029">
      <w:pPr>
        <w:spacing w:after="0" w:line="240" w:lineRule="auto"/>
      </w:pPr>
      <w:r>
        <w:continuationSeparator/>
      </w:r>
    </w:p>
  </w:footnote>
  <w:footnote w:type="continuationNotice" w:id="1">
    <w:p w14:paraId="0F960A08" w14:textId="77777777" w:rsidR="00E01029" w:rsidRDefault="00E010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26182"/>
    <w:multiLevelType w:val="hybridMultilevel"/>
    <w:tmpl w:val="E24C3C64"/>
    <w:lvl w:ilvl="0" w:tplc="E35A7888">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6" w15:restartNumberingAfterBreak="0">
    <w:nsid w:val="1BD73172"/>
    <w:multiLevelType w:val="hybridMultilevel"/>
    <w:tmpl w:val="DCFC5C6A"/>
    <w:lvl w:ilvl="0" w:tplc="E35A7888">
      <w:numFmt w:val="bullet"/>
      <w:lvlText w:val="-"/>
      <w:lvlJc w:val="left"/>
      <w:pPr>
        <w:ind w:left="732" w:hanging="361"/>
      </w:pPr>
      <w:rPr>
        <w:rFonts w:ascii="Calibri" w:eastAsia="Calibri" w:hAnsi="Calibri" w:cs="Calibri" w:hint="default"/>
        <w:spacing w:val="0"/>
        <w:w w:val="100"/>
        <w:lang w:val="en-US" w:eastAsia="en-US" w:bidi="ar-SA"/>
      </w:rPr>
    </w:lvl>
    <w:lvl w:ilvl="1" w:tplc="64F0A43E">
      <w:numFmt w:val="bullet"/>
      <w:lvlText w:val="•"/>
      <w:lvlJc w:val="left"/>
      <w:pPr>
        <w:ind w:left="1757" w:hanging="361"/>
      </w:pPr>
      <w:rPr>
        <w:lang w:val="en-US" w:eastAsia="en-US" w:bidi="ar-SA"/>
      </w:rPr>
    </w:lvl>
    <w:lvl w:ilvl="2" w:tplc="741A64E8">
      <w:numFmt w:val="bullet"/>
      <w:lvlText w:val="•"/>
      <w:lvlJc w:val="left"/>
      <w:pPr>
        <w:ind w:left="2775" w:hanging="361"/>
      </w:pPr>
      <w:rPr>
        <w:lang w:val="en-US" w:eastAsia="en-US" w:bidi="ar-SA"/>
      </w:rPr>
    </w:lvl>
    <w:lvl w:ilvl="3" w:tplc="7EFE40E8">
      <w:numFmt w:val="bullet"/>
      <w:lvlText w:val="•"/>
      <w:lvlJc w:val="left"/>
      <w:pPr>
        <w:ind w:left="3792" w:hanging="361"/>
      </w:pPr>
      <w:rPr>
        <w:lang w:val="en-US" w:eastAsia="en-US" w:bidi="ar-SA"/>
      </w:rPr>
    </w:lvl>
    <w:lvl w:ilvl="4" w:tplc="507E7FF0">
      <w:numFmt w:val="bullet"/>
      <w:lvlText w:val="•"/>
      <w:lvlJc w:val="left"/>
      <w:pPr>
        <w:ind w:left="4810" w:hanging="361"/>
      </w:pPr>
      <w:rPr>
        <w:lang w:val="en-US" w:eastAsia="en-US" w:bidi="ar-SA"/>
      </w:rPr>
    </w:lvl>
    <w:lvl w:ilvl="5" w:tplc="8ED050D0">
      <w:numFmt w:val="bullet"/>
      <w:lvlText w:val="•"/>
      <w:lvlJc w:val="left"/>
      <w:pPr>
        <w:ind w:left="5827" w:hanging="361"/>
      </w:pPr>
      <w:rPr>
        <w:lang w:val="en-US" w:eastAsia="en-US" w:bidi="ar-SA"/>
      </w:rPr>
    </w:lvl>
    <w:lvl w:ilvl="6" w:tplc="BBD66F5C">
      <w:numFmt w:val="bullet"/>
      <w:lvlText w:val="•"/>
      <w:lvlJc w:val="left"/>
      <w:pPr>
        <w:ind w:left="6845" w:hanging="361"/>
      </w:pPr>
      <w:rPr>
        <w:lang w:val="en-US" w:eastAsia="en-US" w:bidi="ar-SA"/>
      </w:rPr>
    </w:lvl>
    <w:lvl w:ilvl="7" w:tplc="9E9E9088">
      <w:numFmt w:val="bullet"/>
      <w:lvlText w:val="•"/>
      <w:lvlJc w:val="left"/>
      <w:pPr>
        <w:ind w:left="7862" w:hanging="361"/>
      </w:pPr>
      <w:rPr>
        <w:lang w:val="en-US" w:eastAsia="en-US" w:bidi="ar-SA"/>
      </w:rPr>
    </w:lvl>
    <w:lvl w:ilvl="8" w:tplc="2674B882">
      <w:numFmt w:val="bullet"/>
      <w:lvlText w:val="•"/>
      <w:lvlJc w:val="left"/>
      <w:pPr>
        <w:ind w:left="8880" w:hanging="361"/>
      </w:pPr>
      <w:rPr>
        <w:lang w:val="en-US" w:eastAsia="en-US" w:bidi="ar-SA"/>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7" w15:restartNumberingAfterBreak="0">
    <w:nsid w:val="6EE47001"/>
    <w:multiLevelType w:val="hybridMultilevel"/>
    <w:tmpl w:val="EB164D96"/>
    <w:lvl w:ilvl="0" w:tplc="E35A7888">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2"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3"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1103111123">
    <w:abstractNumId w:val="9"/>
  </w:num>
  <w:num w:numId="2" w16cid:durableId="855461491">
    <w:abstractNumId w:val="7"/>
  </w:num>
  <w:num w:numId="3" w16cid:durableId="47265013">
    <w:abstractNumId w:val="10"/>
  </w:num>
  <w:num w:numId="4" w16cid:durableId="581835488">
    <w:abstractNumId w:val="11"/>
  </w:num>
  <w:num w:numId="5" w16cid:durableId="1895047695">
    <w:abstractNumId w:val="3"/>
  </w:num>
  <w:num w:numId="6" w16cid:durableId="1884368507">
    <w:abstractNumId w:val="18"/>
  </w:num>
  <w:num w:numId="7" w16cid:durableId="415640218">
    <w:abstractNumId w:val="24"/>
  </w:num>
  <w:num w:numId="8" w16cid:durableId="2136025348">
    <w:abstractNumId w:val="30"/>
  </w:num>
  <w:num w:numId="9" w16cid:durableId="601569318">
    <w:abstractNumId w:val="28"/>
  </w:num>
  <w:num w:numId="10" w16cid:durableId="983042535">
    <w:abstractNumId w:val="25"/>
  </w:num>
  <w:num w:numId="11" w16cid:durableId="79959298">
    <w:abstractNumId w:val="8"/>
  </w:num>
  <w:num w:numId="12" w16cid:durableId="307326008">
    <w:abstractNumId w:val="29"/>
  </w:num>
  <w:num w:numId="13" w16cid:durableId="1003238745">
    <w:abstractNumId w:val="22"/>
  </w:num>
  <w:num w:numId="14" w16cid:durableId="57826437">
    <w:abstractNumId w:val="12"/>
  </w:num>
  <w:num w:numId="15" w16cid:durableId="189955160">
    <w:abstractNumId w:val="21"/>
  </w:num>
  <w:num w:numId="16" w16cid:durableId="895169835">
    <w:abstractNumId w:val="33"/>
  </w:num>
  <w:num w:numId="17" w16cid:durableId="535702924">
    <w:abstractNumId w:val="13"/>
  </w:num>
  <w:num w:numId="18" w16cid:durableId="1692872504">
    <w:abstractNumId w:val="16"/>
  </w:num>
  <w:num w:numId="19" w16cid:durableId="1413114521">
    <w:abstractNumId w:val="0"/>
  </w:num>
  <w:num w:numId="20" w16cid:durableId="91320825">
    <w:abstractNumId w:val="20"/>
  </w:num>
  <w:num w:numId="21" w16cid:durableId="914977510">
    <w:abstractNumId w:val="1"/>
  </w:num>
  <w:num w:numId="22" w16cid:durableId="1247762341">
    <w:abstractNumId w:val="17"/>
  </w:num>
  <w:num w:numId="23" w16cid:durableId="2096395254">
    <w:abstractNumId w:val="32"/>
  </w:num>
  <w:num w:numId="24" w16cid:durableId="387388671">
    <w:abstractNumId w:val="26"/>
  </w:num>
  <w:num w:numId="25" w16cid:durableId="1919440336">
    <w:abstractNumId w:val="4"/>
  </w:num>
  <w:num w:numId="26" w16cid:durableId="1691756076">
    <w:abstractNumId w:val="14"/>
  </w:num>
  <w:num w:numId="27" w16cid:durableId="363987227">
    <w:abstractNumId w:val="19"/>
  </w:num>
  <w:num w:numId="28" w16cid:durableId="1170870594">
    <w:abstractNumId w:val="23"/>
  </w:num>
  <w:num w:numId="29" w16cid:durableId="1925532106">
    <w:abstractNumId w:val="31"/>
  </w:num>
  <w:num w:numId="30" w16cid:durableId="266550086">
    <w:abstractNumId w:val="5"/>
  </w:num>
  <w:num w:numId="31" w16cid:durableId="963582381">
    <w:abstractNumId w:val="15"/>
  </w:num>
  <w:num w:numId="32" w16cid:durableId="1814447564">
    <w:abstractNumId w:val="6"/>
  </w:num>
  <w:num w:numId="33" w16cid:durableId="1790007365">
    <w:abstractNumId w:val="6"/>
  </w:num>
  <w:num w:numId="34" w16cid:durableId="1169566605">
    <w:abstractNumId w:val="27"/>
  </w:num>
  <w:num w:numId="35" w16cid:durableId="1460537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898"/>
    <w:rsid w:val="0003197D"/>
    <w:rsid w:val="0003265C"/>
    <w:rsid w:val="0003270A"/>
    <w:rsid w:val="00032A79"/>
    <w:rsid w:val="00037B50"/>
    <w:rsid w:val="0004039A"/>
    <w:rsid w:val="00040F0E"/>
    <w:rsid w:val="00042467"/>
    <w:rsid w:val="0004329A"/>
    <w:rsid w:val="00043B45"/>
    <w:rsid w:val="00044E7C"/>
    <w:rsid w:val="0004557E"/>
    <w:rsid w:val="00046EBA"/>
    <w:rsid w:val="0004715F"/>
    <w:rsid w:val="00047D6A"/>
    <w:rsid w:val="00047FBF"/>
    <w:rsid w:val="00050713"/>
    <w:rsid w:val="00051BB1"/>
    <w:rsid w:val="00052377"/>
    <w:rsid w:val="00052E23"/>
    <w:rsid w:val="00053887"/>
    <w:rsid w:val="00053A7C"/>
    <w:rsid w:val="0005411B"/>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64"/>
    <w:rsid w:val="000724FB"/>
    <w:rsid w:val="00073FC3"/>
    <w:rsid w:val="00075AD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B0226"/>
    <w:rsid w:val="000B04BC"/>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E0906"/>
    <w:rsid w:val="000E0B9A"/>
    <w:rsid w:val="000E0C79"/>
    <w:rsid w:val="000E127E"/>
    <w:rsid w:val="000E1CF6"/>
    <w:rsid w:val="000E4F63"/>
    <w:rsid w:val="000E5753"/>
    <w:rsid w:val="000E580B"/>
    <w:rsid w:val="000E5FEF"/>
    <w:rsid w:val="000E6A03"/>
    <w:rsid w:val="000E6F67"/>
    <w:rsid w:val="000E70A6"/>
    <w:rsid w:val="000F0EA0"/>
    <w:rsid w:val="000F14C5"/>
    <w:rsid w:val="000F19B5"/>
    <w:rsid w:val="000F2522"/>
    <w:rsid w:val="000F406A"/>
    <w:rsid w:val="000F4EB1"/>
    <w:rsid w:val="000F5C05"/>
    <w:rsid w:val="000F6CCF"/>
    <w:rsid w:val="000F71FA"/>
    <w:rsid w:val="001005ED"/>
    <w:rsid w:val="001015BC"/>
    <w:rsid w:val="001025FB"/>
    <w:rsid w:val="00102AAC"/>
    <w:rsid w:val="00105738"/>
    <w:rsid w:val="00105A56"/>
    <w:rsid w:val="00105F24"/>
    <w:rsid w:val="00107212"/>
    <w:rsid w:val="00107A79"/>
    <w:rsid w:val="00107C74"/>
    <w:rsid w:val="001107A3"/>
    <w:rsid w:val="001111B0"/>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01"/>
    <w:rsid w:val="00126958"/>
    <w:rsid w:val="00127F5F"/>
    <w:rsid w:val="00130593"/>
    <w:rsid w:val="00131914"/>
    <w:rsid w:val="0013324D"/>
    <w:rsid w:val="00134953"/>
    <w:rsid w:val="0013512D"/>
    <w:rsid w:val="00136D68"/>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71009"/>
    <w:rsid w:val="00171EB1"/>
    <w:rsid w:val="00172253"/>
    <w:rsid w:val="00172E82"/>
    <w:rsid w:val="00173CFB"/>
    <w:rsid w:val="001740C3"/>
    <w:rsid w:val="00174105"/>
    <w:rsid w:val="001741CE"/>
    <w:rsid w:val="001755B6"/>
    <w:rsid w:val="00175C89"/>
    <w:rsid w:val="00175EC1"/>
    <w:rsid w:val="00176345"/>
    <w:rsid w:val="00182B1B"/>
    <w:rsid w:val="00182CE3"/>
    <w:rsid w:val="00183656"/>
    <w:rsid w:val="00185478"/>
    <w:rsid w:val="001854B9"/>
    <w:rsid w:val="001873A1"/>
    <w:rsid w:val="00187D51"/>
    <w:rsid w:val="001949FF"/>
    <w:rsid w:val="00194DC9"/>
    <w:rsid w:val="00194F5D"/>
    <w:rsid w:val="0019556C"/>
    <w:rsid w:val="00196F36"/>
    <w:rsid w:val="0019782E"/>
    <w:rsid w:val="00197B51"/>
    <w:rsid w:val="001A034C"/>
    <w:rsid w:val="001A12B9"/>
    <w:rsid w:val="001A25A3"/>
    <w:rsid w:val="001A2889"/>
    <w:rsid w:val="001A35D1"/>
    <w:rsid w:val="001A4D83"/>
    <w:rsid w:val="001A6031"/>
    <w:rsid w:val="001A62E6"/>
    <w:rsid w:val="001A6B3D"/>
    <w:rsid w:val="001B011E"/>
    <w:rsid w:val="001B098A"/>
    <w:rsid w:val="001B119A"/>
    <w:rsid w:val="001B1D8B"/>
    <w:rsid w:val="001B4D47"/>
    <w:rsid w:val="001B5953"/>
    <w:rsid w:val="001B716E"/>
    <w:rsid w:val="001B758A"/>
    <w:rsid w:val="001B7905"/>
    <w:rsid w:val="001C0E0C"/>
    <w:rsid w:val="001C1204"/>
    <w:rsid w:val="001C1224"/>
    <w:rsid w:val="001C12BA"/>
    <w:rsid w:val="001C17E8"/>
    <w:rsid w:val="001C1862"/>
    <w:rsid w:val="001C2B7B"/>
    <w:rsid w:val="001C341C"/>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1801"/>
    <w:rsid w:val="001F198D"/>
    <w:rsid w:val="001F39A6"/>
    <w:rsid w:val="001F413B"/>
    <w:rsid w:val="001F5269"/>
    <w:rsid w:val="001F6B77"/>
    <w:rsid w:val="001F7D28"/>
    <w:rsid w:val="00200B27"/>
    <w:rsid w:val="00200EE5"/>
    <w:rsid w:val="00201D58"/>
    <w:rsid w:val="00201EE2"/>
    <w:rsid w:val="00202374"/>
    <w:rsid w:val="002031A5"/>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42F"/>
    <w:rsid w:val="002248E1"/>
    <w:rsid w:val="00225919"/>
    <w:rsid w:val="002260EA"/>
    <w:rsid w:val="002267E9"/>
    <w:rsid w:val="002278D9"/>
    <w:rsid w:val="00227BBA"/>
    <w:rsid w:val="0023034C"/>
    <w:rsid w:val="002310EB"/>
    <w:rsid w:val="00231624"/>
    <w:rsid w:val="00231E6D"/>
    <w:rsid w:val="0023293D"/>
    <w:rsid w:val="00232EF2"/>
    <w:rsid w:val="00234191"/>
    <w:rsid w:val="00234CD5"/>
    <w:rsid w:val="00234EF6"/>
    <w:rsid w:val="00235004"/>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70A7"/>
    <w:rsid w:val="002605B1"/>
    <w:rsid w:val="0026121D"/>
    <w:rsid w:val="002617CC"/>
    <w:rsid w:val="002629BB"/>
    <w:rsid w:val="0026462D"/>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408A"/>
    <w:rsid w:val="00284B00"/>
    <w:rsid w:val="00285516"/>
    <w:rsid w:val="002857D8"/>
    <w:rsid w:val="00286092"/>
    <w:rsid w:val="002864A7"/>
    <w:rsid w:val="00286F64"/>
    <w:rsid w:val="00286F9F"/>
    <w:rsid w:val="0029115F"/>
    <w:rsid w:val="00291AF0"/>
    <w:rsid w:val="00291E10"/>
    <w:rsid w:val="00292E62"/>
    <w:rsid w:val="0029500C"/>
    <w:rsid w:val="00295351"/>
    <w:rsid w:val="00295A11"/>
    <w:rsid w:val="00295C76"/>
    <w:rsid w:val="00297ADD"/>
    <w:rsid w:val="002A0F08"/>
    <w:rsid w:val="002A342E"/>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C2807"/>
    <w:rsid w:val="002C38B7"/>
    <w:rsid w:val="002C3C8F"/>
    <w:rsid w:val="002C53A2"/>
    <w:rsid w:val="002C55E2"/>
    <w:rsid w:val="002C5874"/>
    <w:rsid w:val="002C5C46"/>
    <w:rsid w:val="002C5C55"/>
    <w:rsid w:val="002C632A"/>
    <w:rsid w:val="002C63C0"/>
    <w:rsid w:val="002C7FC4"/>
    <w:rsid w:val="002D02D5"/>
    <w:rsid w:val="002D0C5D"/>
    <w:rsid w:val="002D1D5C"/>
    <w:rsid w:val="002D2187"/>
    <w:rsid w:val="002D2190"/>
    <w:rsid w:val="002D45D9"/>
    <w:rsid w:val="002D4DAA"/>
    <w:rsid w:val="002D6838"/>
    <w:rsid w:val="002D7E03"/>
    <w:rsid w:val="002E1D1E"/>
    <w:rsid w:val="002E3A1A"/>
    <w:rsid w:val="002E3FF3"/>
    <w:rsid w:val="002E5370"/>
    <w:rsid w:val="002E59ED"/>
    <w:rsid w:val="002E5A89"/>
    <w:rsid w:val="002E63BB"/>
    <w:rsid w:val="002E72E4"/>
    <w:rsid w:val="002E7855"/>
    <w:rsid w:val="002E7A7D"/>
    <w:rsid w:val="002F0516"/>
    <w:rsid w:val="002F1527"/>
    <w:rsid w:val="002F1B5E"/>
    <w:rsid w:val="002F3B55"/>
    <w:rsid w:val="002F3BF6"/>
    <w:rsid w:val="002F45AC"/>
    <w:rsid w:val="002F4652"/>
    <w:rsid w:val="002F48B7"/>
    <w:rsid w:val="002F4BB4"/>
    <w:rsid w:val="002F54AD"/>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B63"/>
    <w:rsid w:val="00311FB0"/>
    <w:rsid w:val="00312999"/>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E78"/>
    <w:rsid w:val="0033017B"/>
    <w:rsid w:val="00330E03"/>
    <w:rsid w:val="00331A29"/>
    <w:rsid w:val="00332C7E"/>
    <w:rsid w:val="00332F9B"/>
    <w:rsid w:val="00334EC2"/>
    <w:rsid w:val="00335703"/>
    <w:rsid w:val="00335E3C"/>
    <w:rsid w:val="0033627B"/>
    <w:rsid w:val="00337C60"/>
    <w:rsid w:val="00337F4F"/>
    <w:rsid w:val="00340199"/>
    <w:rsid w:val="003418FC"/>
    <w:rsid w:val="00341907"/>
    <w:rsid w:val="00343E51"/>
    <w:rsid w:val="00344670"/>
    <w:rsid w:val="00345879"/>
    <w:rsid w:val="003464C0"/>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5A4C"/>
    <w:rsid w:val="00366172"/>
    <w:rsid w:val="003663EB"/>
    <w:rsid w:val="00366EE1"/>
    <w:rsid w:val="003703CC"/>
    <w:rsid w:val="003709E7"/>
    <w:rsid w:val="00371360"/>
    <w:rsid w:val="00371722"/>
    <w:rsid w:val="00371DB8"/>
    <w:rsid w:val="0037207C"/>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681B"/>
    <w:rsid w:val="00386D3C"/>
    <w:rsid w:val="003871B3"/>
    <w:rsid w:val="00391C6D"/>
    <w:rsid w:val="00392204"/>
    <w:rsid w:val="0039311E"/>
    <w:rsid w:val="00393EA8"/>
    <w:rsid w:val="00394F2A"/>
    <w:rsid w:val="003952AF"/>
    <w:rsid w:val="00395603"/>
    <w:rsid w:val="003964FD"/>
    <w:rsid w:val="003969BA"/>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B17"/>
    <w:rsid w:val="003B7697"/>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5A60"/>
    <w:rsid w:val="00405F3C"/>
    <w:rsid w:val="00407188"/>
    <w:rsid w:val="00407E6E"/>
    <w:rsid w:val="00410D84"/>
    <w:rsid w:val="004113BE"/>
    <w:rsid w:val="00412627"/>
    <w:rsid w:val="00412DF3"/>
    <w:rsid w:val="0041315E"/>
    <w:rsid w:val="00415767"/>
    <w:rsid w:val="0041586D"/>
    <w:rsid w:val="00416763"/>
    <w:rsid w:val="0041678F"/>
    <w:rsid w:val="00420788"/>
    <w:rsid w:val="00421546"/>
    <w:rsid w:val="00423924"/>
    <w:rsid w:val="00423B7A"/>
    <w:rsid w:val="00427465"/>
    <w:rsid w:val="00427DF1"/>
    <w:rsid w:val="0043031E"/>
    <w:rsid w:val="004308AA"/>
    <w:rsid w:val="00431F56"/>
    <w:rsid w:val="00433632"/>
    <w:rsid w:val="00433B60"/>
    <w:rsid w:val="0043456D"/>
    <w:rsid w:val="004346A8"/>
    <w:rsid w:val="00436C85"/>
    <w:rsid w:val="004376F1"/>
    <w:rsid w:val="004414EB"/>
    <w:rsid w:val="0044189E"/>
    <w:rsid w:val="00443D1A"/>
    <w:rsid w:val="00444005"/>
    <w:rsid w:val="00445183"/>
    <w:rsid w:val="004453B1"/>
    <w:rsid w:val="004454BF"/>
    <w:rsid w:val="0044560E"/>
    <w:rsid w:val="00445705"/>
    <w:rsid w:val="00445ADE"/>
    <w:rsid w:val="004473BC"/>
    <w:rsid w:val="00447FF7"/>
    <w:rsid w:val="00450AB7"/>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4606"/>
    <w:rsid w:val="004654D5"/>
    <w:rsid w:val="00465665"/>
    <w:rsid w:val="00466FE5"/>
    <w:rsid w:val="004674AE"/>
    <w:rsid w:val="00470129"/>
    <w:rsid w:val="0047018E"/>
    <w:rsid w:val="00471A95"/>
    <w:rsid w:val="00471EAA"/>
    <w:rsid w:val="004744BA"/>
    <w:rsid w:val="00474667"/>
    <w:rsid w:val="0047496D"/>
    <w:rsid w:val="00474A90"/>
    <w:rsid w:val="00475134"/>
    <w:rsid w:val="0047631B"/>
    <w:rsid w:val="004766AA"/>
    <w:rsid w:val="00477C0E"/>
    <w:rsid w:val="004819E8"/>
    <w:rsid w:val="00482218"/>
    <w:rsid w:val="0048228B"/>
    <w:rsid w:val="00482337"/>
    <w:rsid w:val="004824B9"/>
    <w:rsid w:val="00483BF3"/>
    <w:rsid w:val="0048441C"/>
    <w:rsid w:val="00484A50"/>
    <w:rsid w:val="00487A2D"/>
    <w:rsid w:val="00487C69"/>
    <w:rsid w:val="00491AC5"/>
    <w:rsid w:val="00491D8C"/>
    <w:rsid w:val="0049237F"/>
    <w:rsid w:val="004927AB"/>
    <w:rsid w:val="00492F93"/>
    <w:rsid w:val="00494A14"/>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B0EF8"/>
    <w:rsid w:val="004B1D84"/>
    <w:rsid w:val="004B1EBA"/>
    <w:rsid w:val="004B2512"/>
    <w:rsid w:val="004B44EB"/>
    <w:rsid w:val="004B4A15"/>
    <w:rsid w:val="004B595B"/>
    <w:rsid w:val="004B6498"/>
    <w:rsid w:val="004B6F36"/>
    <w:rsid w:val="004C089A"/>
    <w:rsid w:val="004C23B0"/>
    <w:rsid w:val="004C2DBA"/>
    <w:rsid w:val="004C37EC"/>
    <w:rsid w:val="004C4A58"/>
    <w:rsid w:val="004C5044"/>
    <w:rsid w:val="004C57FE"/>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4F76"/>
    <w:rsid w:val="004D511A"/>
    <w:rsid w:val="004D5322"/>
    <w:rsid w:val="004D55E8"/>
    <w:rsid w:val="004D74B3"/>
    <w:rsid w:val="004D7D9C"/>
    <w:rsid w:val="004E03EA"/>
    <w:rsid w:val="004E38F3"/>
    <w:rsid w:val="004E4720"/>
    <w:rsid w:val="004E68BD"/>
    <w:rsid w:val="004E6E9D"/>
    <w:rsid w:val="004E7EDE"/>
    <w:rsid w:val="004E7EFD"/>
    <w:rsid w:val="004F134F"/>
    <w:rsid w:val="004F1769"/>
    <w:rsid w:val="004F2DA0"/>
    <w:rsid w:val="004F3914"/>
    <w:rsid w:val="004F5A6F"/>
    <w:rsid w:val="0050115E"/>
    <w:rsid w:val="00502FAB"/>
    <w:rsid w:val="0050384A"/>
    <w:rsid w:val="00505101"/>
    <w:rsid w:val="005052AE"/>
    <w:rsid w:val="005053BE"/>
    <w:rsid w:val="005069E4"/>
    <w:rsid w:val="00506ADD"/>
    <w:rsid w:val="00510239"/>
    <w:rsid w:val="00511503"/>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D37"/>
    <w:rsid w:val="00541DB9"/>
    <w:rsid w:val="00542C7F"/>
    <w:rsid w:val="00543E07"/>
    <w:rsid w:val="005440DB"/>
    <w:rsid w:val="00544136"/>
    <w:rsid w:val="00544704"/>
    <w:rsid w:val="005463F2"/>
    <w:rsid w:val="0054677A"/>
    <w:rsid w:val="00546DAC"/>
    <w:rsid w:val="00547948"/>
    <w:rsid w:val="00547C37"/>
    <w:rsid w:val="0055028A"/>
    <w:rsid w:val="005512EA"/>
    <w:rsid w:val="00551E86"/>
    <w:rsid w:val="005523DF"/>
    <w:rsid w:val="005525AF"/>
    <w:rsid w:val="00552CA6"/>
    <w:rsid w:val="00553B61"/>
    <w:rsid w:val="0055481D"/>
    <w:rsid w:val="00555245"/>
    <w:rsid w:val="00556556"/>
    <w:rsid w:val="00556AA2"/>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6AD"/>
    <w:rsid w:val="00575FA1"/>
    <w:rsid w:val="00576EFF"/>
    <w:rsid w:val="0057793A"/>
    <w:rsid w:val="00582796"/>
    <w:rsid w:val="00583B7B"/>
    <w:rsid w:val="00583DA4"/>
    <w:rsid w:val="0058405F"/>
    <w:rsid w:val="00584D98"/>
    <w:rsid w:val="00584E5D"/>
    <w:rsid w:val="005858B2"/>
    <w:rsid w:val="00585D94"/>
    <w:rsid w:val="005928FA"/>
    <w:rsid w:val="00592BBC"/>
    <w:rsid w:val="00592CFB"/>
    <w:rsid w:val="005954A8"/>
    <w:rsid w:val="00597328"/>
    <w:rsid w:val="005A11F7"/>
    <w:rsid w:val="005A1B2B"/>
    <w:rsid w:val="005A1E7D"/>
    <w:rsid w:val="005A23E5"/>
    <w:rsid w:val="005A26D4"/>
    <w:rsid w:val="005A2DEF"/>
    <w:rsid w:val="005A3155"/>
    <w:rsid w:val="005A3978"/>
    <w:rsid w:val="005A4422"/>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328"/>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7EC"/>
    <w:rsid w:val="005E38D4"/>
    <w:rsid w:val="005E49FB"/>
    <w:rsid w:val="005E4CD2"/>
    <w:rsid w:val="005E6A65"/>
    <w:rsid w:val="005E704A"/>
    <w:rsid w:val="005F01AD"/>
    <w:rsid w:val="005F2196"/>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BC3"/>
    <w:rsid w:val="00624851"/>
    <w:rsid w:val="006257A8"/>
    <w:rsid w:val="00627225"/>
    <w:rsid w:val="00627FBB"/>
    <w:rsid w:val="006301EC"/>
    <w:rsid w:val="00632BA6"/>
    <w:rsid w:val="00632F2C"/>
    <w:rsid w:val="00632F54"/>
    <w:rsid w:val="00633B1B"/>
    <w:rsid w:val="00634A10"/>
    <w:rsid w:val="00635684"/>
    <w:rsid w:val="006369C2"/>
    <w:rsid w:val="00637307"/>
    <w:rsid w:val="006415BA"/>
    <w:rsid w:val="00641D56"/>
    <w:rsid w:val="00642BFC"/>
    <w:rsid w:val="00645A3A"/>
    <w:rsid w:val="006461F5"/>
    <w:rsid w:val="0065248B"/>
    <w:rsid w:val="006534FE"/>
    <w:rsid w:val="00653500"/>
    <w:rsid w:val="0065367D"/>
    <w:rsid w:val="0065494B"/>
    <w:rsid w:val="006549E7"/>
    <w:rsid w:val="00655263"/>
    <w:rsid w:val="006555EE"/>
    <w:rsid w:val="00656BEC"/>
    <w:rsid w:val="006576D1"/>
    <w:rsid w:val="006576E2"/>
    <w:rsid w:val="00660FD3"/>
    <w:rsid w:val="006615AC"/>
    <w:rsid w:val="0066258F"/>
    <w:rsid w:val="00662841"/>
    <w:rsid w:val="00663629"/>
    <w:rsid w:val="0066392C"/>
    <w:rsid w:val="006640E7"/>
    <w:rsid w:val="00664323"/>
    <w:rsid w:val="006649AC"/>
    <w:rsid w:val="006700ED"/>
    <w:rsid w:val="00670F74"/>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1775"/>
    <w:rsid w:val="00683C27"/>
    <w:rsid w:val="00683D9C"/>
    <w:rsid w:val="00685163"/>
    <w:rsid w:val="00685237"/>
    <w:rsid w:val="00687677"/>
    <w:rsid w:val="00691724"/>
    <w:rsid w:val="0069259B"/>
    <w:rsid w:val="0069408F"/>
    <w:rsid w:val="00697EA1"/>
    <w:rsid w:val="006A2B4E"/>
    <w:rsid w:val="006A3795"/>
    <w:rsid w:val="006A40DA"/>
    <w:rsid w:val="006A4E28"/>
    <w:rsid w:val="006A4FAA"/>
    <w:rsid w:val="006A5167"/>
    <w:rsid w:val="006A6C65"/>
    <w:rsid w:val="006A7EBF"/>
    <w:rsid w:val="006B477F"/>
    <w:rsid w:val="006B4887"/>
    <w:rsid w:val="006B4A30"/>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5019"/>
    <w:rsid w:val="006D6CEA"/>
    <w:rsid w:val="006D70CD"/>
    <w:rsid w:val="006D789C"/>
    <w:rsid w:val="006E0FF3"/>
    <w:rsid w:val="006E102E"/>
    <w:rsid w:val="006E1AF6"/>
    <w:rsid w:val="006E2090"/>
    <w:rsid w:val="006E2AA4"/>
    <w:rsid w:val="006E3433"/>
    <w:rsid w:val="006E426D"/>
    <w:rsid w:val="006E5A88"/>
    <w:rsid w:val="006E67B2"/>
    <w:rsid w:val="006E73A6"/>
    <w:rsid w:val="006E7FB1"/>
    <w:rsid w:val="006F1A83"/>
    <w:rsid w:val="006F2325"/>
    <w:rsid w:val="006F27EE"/>
    <w:rsid w:val="006F30AF"/>
    <w:rsid w:val="006F32CA"/>
    <w:rsid w:val="006F564F"/>
    <w:rsid w:val="006F57F6"/>
    <w:rsid w:val="006F5A7A"/>
    <w:rsid w:val="006F6C94"/>
    <w:rsid w:val="00702EE8"/>
    <w:rsid w:val="007031B8"/>
    <w:rsid w:val="00703C3F"/>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B3"/>
    <w:rsid w:val="00722EF2"/>
    <w:rsid w:val="007231BB"/>
    <w:rsid w:val="0072419B"/>
    <w:rsid w:val="0072495B"/>
    <w:rsid w:val="0072607F"/>
    <w:rsid w:val="0073097E"/>
    <w:rsid w:val="007322B9"/>
    <w:rsid w:val="00732F8B"/>
    <w:rsid w:val="00734268"/>
    <w:rsid w:val="00734903"/>
    <w:rsid w:val="0073528E"/>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6E87"/>
    <w:rsid w:val="00747AEC"/>
    <w:rsid w:val="00747F38"/>
    <w:rsid w:val="007502D1"/>
    <w:rsid w:val="00750C33"/>
    <w:rsid w:val="00750D7C"/>
    <w:rsid w:val="007522CD"/>
    <w:rsid w:val="0075271C"/>
    <w:rsid w:val="00753BE2"/>
    <w:rsid w:val="007558E6"/>
    <w:rsid w:val="00755D22"/>
    <w:rsid w:val="0075680A"/>
    <w:rsid w:val="007608BA"/>
    <w:rsid w:val="00762083"/>
    <w:rsid w:val="007621AF"/>
    <w:rsid w:val="00762441"/>
    <w:rsid w:val="0076246F"/>
    <w:rsid w:val="0076279B"/>
    <w:rsid w:val="00762B51"/>
    <w:rsid w:val="00763A10"/>
    <w:rsid w:val="00764733"/>
    <w:rsid w:val="00764A66"/>
    <w:rsid w:val="00765839"/>
    <w:rsid w:val="00770118"/>
    <w:rsid w:val="0077187E"/>
    <w:rsid w:val="00772D78"/>
    <w:rsid w:val="00773FA5"/>
    <w:rsid w:val="00775CF7"/>
    <w:rsid w:val="00777F13"/>
    <w:rsid w:val="00780141"/>
    <w:rsid w:val="00781E27"/>
    <w:rsid w:val="00782611"/>
    <w:rsid w:val="00782AF5"/>
    <w:rsid w:val="007839E5"/>
    <w:rsid w:val="00785226"/>
    <w:rsid w:val="007865FE"/>
    <w:rsid w:val="007869AC"/>
    <w:rsid w:val="00787CC6"/>
    <w:rsid w:val="00787DC9"/>
    <w:rsid w:val="00792944"/>
    <w:rsid w:val="00793E3D"/>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B6FA0"/>
    <w:rsid w:val="007C216F"/>
    <w:rsid w:val="007C2F04"/>
    <w:rsid w:val="007C332E"/>
    <w:rsid w:val="007C3A7B"/>
    <w:rsid w:val="007C4301"/>
    <w:rsid w:val="007C4A8A"/>
    <w:rsid w:val="007C4C82"/>
    <w:rsid w:val="007C50B2"/>
    <w:rsid w:val="007C7765"/>
    <w:rsid w:val="007D0C03"/>
    <w:rsid w:val="007D1EC1"/>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375"/>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30376"/>
    <w:rsid w:val="008323F8"/>
    <w:rsid w:val="00832F44"/>
    <w:rsid w:val="00833690"/>
    <w:rsid w:val="00834823"/>
    <w:rsid w:val="00835391"/>
    <w:rsid w:val="00835BBD"/>
    <w:rsid w:val="0083621C"/>
    <w:rsid w:val="00836447"/>
    <w:rsid w:val="008378B1"/>
    <w:rsid w:val="008403EF"/>
    <w:rsid w:val="00840669"/>
    <w:rsid w:val="0084084C"/>
    <w:rsid w:val="00840BDD"/>
    <w:rsid w:val="00840E17"/>
    <w:rsid w:val="0084199C"/>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147E"/>
    <w:rsid w:val="00862CDA"/>
    <w:rsid w:val="00864A68"/>
    <w:rsid w:val="008659D0"/>
    <w:rsid w:val="00865A69"/>
    <w:rsid w:val="0086685B"/>
    <w:rsid w:val="00867018"/>
    <w:rsid w:val="00867465"/>
    <w:rsid w:val="00867B4E"/>
    <w:rsid w:val="0087120E"/>
    <w:rsid w:val="008716CB"/>
    <w:rsid w:val="00872CD7"/>
    <w:rsid w:val="0087304C"/>
    <w:rsid w:val="00875179"/>
    <w:rsid w:val="008754CC"/>
    <w:rsid w:val="00877501"/>
    <w:rsid w:val="008804F4"/>
    <w:rsid w:val="00880A4D"/>
    <w:rsid w:val="00880CB2"/>
    <w:rsid w:val="00881694"/>
    <w:rsid w:val="00882F7F"/>
    <w:rsid w:val="008839C1"/>
    <w:rsid w:val="00883CD9"/>
    <w:rsid w:val="00884C97"/>
    <w:rsid w:val="008851E7"/>
    <w:rsid w:val="0088545A"/>
    <w:rsid w:val="008855F3"/>
    <w:rsid w:val="00885F33"/>
    <w:rsid w:val="008860EA"/>
    <w:rsid w:val="00887BB4"/>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1DFB"/>
    <w:rsid w:val="008B20FD"/>
    <w:rsid w:val="008B30F9"/>
    <w:rsid w:val="008B49EE"/>
    <w:rsid w:val="008B6F1C"/>
    <w:rsid w:val="008C04E1"/>
    <w:rsid w:val="008C0693"/>
    <w:rsid w:val="008C12F2"/>
    <w:rsid w:val="008C1989"/>
    <w:rsid w:val="008C4F85"/>
    <w:rsid w:val="008C5C2B"/>
    <w:rsid w:val="008C6667"/>
    <w:rsid w:val="008C7B38"/>
    <w:rsid w:val="008C7C95"/>
    <w:rsid w:val="008D0239"/>
    <w:rsid w:val="008D092A"/>
    <w:rsid w:val="008D1FF3"/>
    <w:rsid w:val="008D2100"/>
    <w:rsid w:val="008D30C7"/>
    <w:rsid w:val="008D3769"/>
    <w:rsid w:val="008D5617"/>
    <w:rsid w:val="008D68D6"/>
    <w:rsid w:val="008D6E0B"/>
    <w:rsid w:val="008D708C"/>
    <w:rsid w:val="008D73B7"/>
    <w:rsid w:val="008E4056"/>
    <w:rsid w:val="008E6507"/>
    <w:rsid w:val="008E73FB"/>
    <w:rsid w:val="008F09E6"/>
    <w:rsid w:val="008F0BD5"/>
    <w:rsid w:val="008F0E7F"/>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DE7"/>
    <w:rsid w:val="00910142"/>
    <w:rsid w:val="0091058F"/>
    <w:rsid w:val="009112FE"/>
    <w:rsid w:val="0091198C"/>
    <w:rsid w:val="00911E25"/>
    <w:rsid w:val="00912B56"/>
    <w:rsid w:val="0091359C"/>
    <w:rsid w:val="009144C0"/>
    <w:rsid w:val="00914EA0"/>
    <w:rsid w:val="00914EBF"/>
    <w:rsid w:val="0091524B"/>
    <w:rsid w:val="0091598C"/>
    <w:rsid w:val="00915CB6"/>
    <w:rsid w:val="00916079"/>
    <w:rsid w:val="009161B8"/>
    <w:rsid w:val="00917BB9"/>
    <w:rsid w:val="009201B3"/>
    <w:rsid w:val="00922698"/>
    <w:rsid w:val="00922B26"/>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0EC"/>
    <w:rsid w:val="00935A9F"/>
    <w:rsid w:val="00935B38"/>
    <w:rsid w:val="00935EAF"/>
    <w:rsid w:val="009373F4"/>
    <w:rsid w:val="009375DD"/>
    <w:rsid w:val="00937B3F"/>
    <w:rsid w:val="00937C66"/>
    <w:rsid w:val="00940796"/>
    <w:rsid w:val="0094142F"/>
    <w:rsid w:val="00941C03"/>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6000A"/>
    <w:rsid w:val="009601BD"/>
    <w:rsid w:val="00960391"/>
    <w:rsid w:val="00960901"/>
    <w:rsid w:val="00961486"/>
    <w:rsid w:val="00963A36"/>
    <w:rsid w:val="0096558C"/>
    <w:rsid w:val="00967539"/>
    <w:rsid w:val="00967A5D"/>
    <w:rsid w:val="00967FED"/>
    <w:rsid w:val="00971283"/>
    <w:rsid w:val="0097166D"/>
    <w:rsid w:val="009719A4"/>
    <w:rsid w:val="00972639"/>
    <w:rsid w:val="00972EA8"/>
    <w:rsid w:val="00973387"/>
    <w:rsid w:val="00975403"/>
    <w:rsid w:val="00976DC9"/>
    <w:rsid w:val="00980A60"/>
    <w:rsid w:val="00982F07"/>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46FD"/>
    <w:rsid w:val="00994CED"/>
    <w:rsid w:val="00996F85"/>
    <w:rsid w:val="00997652"/>
    <w:rsid w:val="00997B6A"/>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39FC"/>
    <w:rsid w:val="009D47DC"/>
    <w:rsid w:val="009D49A0"/>
    <w:rsid w:val="009D4E14"/>
    <w:rsid w:val="009D62A3"/>
    <w:rsid w:val="009D6758"/>
    <w:rsid w:val="009D6E64"/>
    <w:rsid w:val="009D71E8"/>
    <w:rsid w:val="009D7CA1"/>
    <w:rsid w:val="009D7E73"/>
    <w:rsid w:val="009E02BF"/>
    <w:rsid w:val="009E0D4E"/>
    <w:rsid w:val="009E25C2"/>
    <w:rsid w:val="009E27C2"/>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4A7D"/>
    <w:rsid w:val="009F5340"/>
    <w:rsid w:val="009F574C"/>
    <w:rsid w:val="009F6F0C"/>
    <w:rsid w:val="00A003BF"/>
    <w:rsid w:val="00A00A58"/>
    <w:rsid w:val="00A00D76"/>
    <w:rsid w:val="00A03B17"/>
    <w:rsid w:val="00A04DBA"/>
    <w:rsid w:val="00A0530E"/>
    <w:rsid w:val="00A059CD"/>
    <w:rsid w:val="00A05B89"/>
    <w:rsid w:val="00A06B18"/>
    <w:rsid w:val="00A11E77"/>
    <w:rsid w:val="00A1201B"/>
    <w:rsid w:val="00A1254A"/>
    <w:rsid w:val="00A13717"/>
    <w:rsid w:val="00A13833"/>
    <w:rsid w:val="00A1597B"/>
    <w:rsid w:val="00A172FB"/>
    <w:rsid w:val="00A1758A"/>
    <w:rsid w:val="00A17B14"/>
    <w:rsid w:val="00A17C99"/>
    <w:rsid w:val="00A20195"/>
    <w:rsid w:val="00A22889"/>
    <w:rsid w:val="00A23AA7"/>
    <w:rsid w:val="00A23E47"/>
    <w:rsid w:val="00A24459"/>
    <w:rsid w:val="00A26FDF"/>
    <w:rsid w:val="00A27511"/>
    <w:rsid w:val="00A27AB2"/>
    <w:rsid w:val="00A27C75"/>
    <w:rsid w:val="00A303C5"/>
    <w:rsid w:val="00A31575"/>
    <w:rsid w:val="00A31660"/>
    <w:rsid w:val="00A3385B"/>
    <w:rsid w:val="00A34920"/>
    <w:rsid w:val="00A34F63"/>
    <w:rsid w:val="00A35171"/>
    <w:rsid w:val="00A35352"/>
    <w:rsid w:val="00A35376"/>
    <w:rsid w:val="00A37A7E"/>
    <w:rsid w:val="00A37E24"/>
    <w:rsid w:val="00A400A9"/>
    <w:rsid w:val="00A40473"/>
    <w:rsid w:val="00A423FE"/>
    <w:rsid w:val="00A43306"/>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65A5"/>
    <w:rsid w:val="00A67408"/>
    <w:rsid w:val="00A6747F"/>
    <w:rsid w:val="00A70689"/>
    <w:rsid w:val="00A719E8"/>
    <w:rsid w:val="00A7250E"/>
    <w:rsid w:val="00A77CB7"/>
    <w:rsid w:val="00A806A3"/>
    <w:rsid w:val="00A8078A"/>
    <w:rsid w:val="00A80C13"/>
    <w:rsid w:val="00A81F61"/>
    <w:rsid w:val="00A82333"/>
    <w:rsid w:val="00A8341D"/>
    <w:rsid w:val="00A869A3"/>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0B83"/>
    <w:rsid w:val="00AC2321"/>
    <w:rsid w:val="00AC2D60"/>
    <w:rsid w:val="00AC3F98"/>
    <w:rsid w:val="00AC4373"/>
    <w:rsid w:val="00AC604C"/>
    <w:rsid w:val="00AD0241"/>
    <w:rsid w:val="00AD0343"/>
    <w:rsid w:val="00AD0ED7"/>
    <w:rsid w:val="00AD112F"/>
    <w:rsid w:val="00AD1876"/>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721B"/>
    <w:rsid w:val="00AF10AF"/>
    <w:rsid w:val="00AF3DBF"/>
    <w:rsid w:val="00AF3FA3"/>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644C"/>
    <w:rsid w:val="00B46453"/>
    <w:rsid w:val="00B46A3F"/>
    <w:rsid w:val="00B46C13"/>
    <w:rsid w:val="00B47A41"/>
    <w:rsid w:val="00B47E8E"/>
    <w:rsid w:val="00B50646"/>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3B13"/>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57C3"/>
    <w:rsid w:val="00BA61E0"/>
    <w:rsid w:val="00BA6754"/>
    <w:rsid w:val="00BB0044"/>
    <w:rsid w:val="00BB1984"/>
    <w:rsid w:val="00BB1AD6"/>
    <w:rsid w:val="00BB212E"/>
    <w:rsid w:val="00BB3E3F"/>
    <w:rsid w:val="00BB4BEB"/>
    <w:rsid w:val="00BB56CA"/>
    <w:rsid w:val="00BB5A4F"/>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9DB"/>
    <w:rsid w:val="00BC6DD8"/>
    <w:rsid w:val="00BC6F03"/>
    <w:rsid w:val="00BC7516"/>
    <w:rsid w:val="00BC7CBC"/>
    <w:rsid w:val="00BC7F03"/>
    <w:rsid w:val="00BD0027"/>
    <w:rsid w:val="00BD0810"/>
    <w:rsid w:val="00BD1513"/>
    <w:rsid w:val="00BD1905"/>
    <w:rsid w:val="00BD1B90"/>
    <w:rsid w:val="00BD1CBB"/>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4AB1"/>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35B2"/>
    <w:rsid w:val="00C139D3"/>
    <w:rsid w:val="00C1487E"/>
    <w:rsid w:val="00C153BB"/>
    <w:rsid w:val="00C15830"/>
    <w:rsid w:val="00C17483"/>
    <w:rsid w:val="00C17B7B"/>
    <w:rsid w:val="00C202A1"/>
    <w:rsid w:val="00C2080E"/>
    <w:rsid w:val="00C20E4C"/>
    <w:rsid w:val="00C21178"/>
    <w:rsid w:val="00C22438"/>
    <w:rsid w:val="00C22D24"/>
    <w:rsid w:val="00C230F9"/>
    <w:rsid w:val="00C23E42"/>
    <w:rsid w:val="00C241F8"/>
    <w:rsid w:val="00C24B0D"/>
    <w:rsid w:val="00C2713C"/>
    <w:rsid w:val="00C30962"/>
    <w:rsid w:val="00C310F4"/>
    <w:rsid w:val="00C31852"/>
    <w:rsid w:val="00C3220B"/>
    <w:rsid w:val="00C334FF"/>
    <w:rsid w:val="00C337AB"/>
    <w:rsid w:val="00C33C97"/>
    <w:rsid w:val="00C34B56"/>
    <w:rsid w:val="00C35969"/>
    <w:rsid w:val="00C37533"/>
    <w:rsid w:val="00C37DCB"/>
    <w:rsid w:val="00C4039A"/>
    <w:rsid w:val="00C40989"/>
    <w:rsid w:val="00C41090"/>
    <w:rsid w:val="00C41CB1"/>
    <w:rsid w:val="00C41EB7"/>
    <w:rsid w:val="00C42807"/>
    <w:rsid w:val="00C42B96"/>
    <w:rsid w:val="00C42FA8"/>
    <w:rsid w:val="00C43108"/>
    <w:rsid w:val="00C43A0C"/>
    <w:rsid w:val="00C45423"/>
    <w:rsid w:val="00C45DF8"/>
    <w:rsid w:val="00C46ADF"/>
    <w:rsid w:val="00C475BA"/>
    <w:rsid w:val="00C47AF2"/>
    <w:rsid w:val="00C47CA6"/>
    <w:rsid w:val="00C5096B"/>
    <w:rsid w:val="00C51DB4"/>
    <w:rsid w:val="00C54516"/>
    <w:rsid w:val="00C54A92"/>
    <w:rsid w:val="00C54E90"/>
    <w:rsid w:val="00C55266"/>
    <w:rsid w:val="00C55565"/>
    <w:rsid w:val="00C56739"/>
    <w:rsid w:val="00C571A9"/>
    <w:rsid w:val="00C5731E"/>
    <w:rsid w:val="00C60175"/>
    <w:rsid w:val="00C61060"/>
    <w:rsid w:val="00C61425"/>
    <w:rsid w:val="00C617F9"/>
    <w:rsid w:val="00C62EDD"/>
    <w:rsid w:val="00C636ED"/>
    <w:rsid w:val="00C639F4"/>
    <w:rsid w:val="00C64D48"/>
    <w:rsid w:val="00C65821"/>
    <w:rsid w:val="00C66D73"/>
    <w:rsid w:val="00C705B0"/>
    <w:rsid w:val="00C70B16"/>
    <w:rsid w:val="00C71727"/>
    <w:rsid w:val="00C71843"/>
    <w:rsid w:val="00C7219B"/>
    <w:rsid w:val="00C742F9"/>
    <w:rsid w:val="00C751F6"/>
    <w:rsid w:val="00C757E5"/>
    <w:rsid w:val="00C76ECD"/>
    <w:rsid w:val="00C776A0"/>
    <w:rsid w:val="00C77D18"/>
    <w:rsid w:val="00C8036D"/>
    <w:rsid w:val="00C8074B"/>
    <w:rsid w:val="00C8130F"/>
    <w:rsid w:val="00C81D8A"/>
    <w:rsid w:val="00C8205A"/>
    <w:rsid w:val="00C829A3"/>
    <w:rsid w:val="00C83363"/>
    <w:rsid w:val="00C835BB"/>
    <w:rsid w:val="00C84EA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419"/>
    <w:rsid w:val="00C94615"/>
    <w:rsid w:val="00C95607"/>
    <w:rsid w:val="00C95736"/>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B11"/>
    <w:rsid w:val="00CC336D"/>
    <w:rsid w:val="00CC3491"/>
    <w:rsid w:val="00CC5A4E"/>
    <w:rsid w:val="00CC7A3C"/>
    <w:rsid w:val="00CD1D58"/>
    <w:rsid w:val="00CD45EA"/>
    <w:rsid w:val="00CD4923"/>
    <w:rsid w:val="00CD6BE9"/>
    <w:rsid w:val="00CE1A79"/>
    <w:rsid w:val="00CE1C5C"/>
    <w:rsid w:val="00CE215F"/>
    <w:rsid w:val="00CE2703"/>
    <w:rsid w:val="00CE3EFD"/>
    <w:rsid w:val="00CE4421"/>
    <w:rsid w:val="00CE50D1"/>
    <w:rsid w:val="00CE629A"/>
    <w:rsid w:val="00CE68EA"/>
    <w:rsid w:val="00CE7A83"/>
    <w:rsid w:val="00CE7ADD"/>
    <w:rsid w:val="00CF048A"/>
    <w:rsid w:val="00CF08F9"/>
    <w:rsid w:val="00CF0AC8"/>
    <w:rsid w:val="00CF1B86"/>
    <w:rsid w:val="00CF26E9"/>
    <w:rsid w:val="00CF30A4"/>
    <w:rsid w:val="00CF3519"/>
    <w:rsid w:val="00CF3623"/>
    <w:rsid w:val="00CF4D6E"/>
    <w:rsid w:val="00CF52EA"/>
    <w:rsid w:val="00CF7208"/>
    <w:rsid w:val="00CF7480"/>
    <w:rsid w:val="00D00AAB"/>
    <w:rsid w:val="00D01434"/>
    <w:rsid w:val="00D01A6D"/>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E29"/>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40125"/>
    <w:rsid w:val="00D40750"/>
    <w:rsid w:val="00D40FE6"/>
    <w:rsid w:val="00D41547"/>
    <w:rsid w:val="00D4193B"/>
    <w:rsid w:val="00D41C8D"/>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60872"/>
    <w:rsid w:val="00D60ADD"/>
    <w:rsid w:val="00D62479"/>
    <w:rsid w:val="00D637A7"/>
    <w:rsid w:val="00D63A88"/>
    <w:rsid w:val="00D64482"/>
    <w:rsid w:val="00D648CD"/>
    <w:rsid w:val="00D65DC1"/>
    <w:rsid w:val="00D71D5F"/>
    <w:rsid w:val="00D7220D"/>
    <w:rsid w:val="00D72692"/>
    <w:rsid w:val="00D72EB3"/>
    <w:rsid w:val="00D73D2B"/>
    <w:rsid w:val="00D741FD"/>
    <w:rsid w:val="00D74939"/>
    <w:rsid w:val="00D75D4C"/>
    <w:rsid w:val="00D76194"/>
    <w:rsid w:val="00D7638B"/>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7B4"/>
    <w:rsid w:val="00D95719"/>
    <w:rsid w:val="00D95BC6"/>
    <w:rsid w:val="00D96171"/>
    <w:rsid w:val="00D96D53"/>
    <w:rsid w:val="00D97B1D"/>
    <w:rsid w:val="00DA1243"/>
    <w:rsid w:val="00DA2B7F"/>
    <w:rsid w:val="00DA4032"/>
    <w:rsid w:val="00DA4642"/>
    <w:rsid w:val="00DA5D6B"/>
    <w:rsid w:val="00DB1057"/>
    <w:rsid w:val="00DB1A52"/>
    <w:rsid w:val="00DB1A71"/>
    <w:rsid w:val="00DB1EC3"/>
    <w:rsid w:val="00DB2557"/>
    <w:rsid w:val="00DB2D5E"/>
    <w:rsid w:val="00DB39ED"/>
    <w:rsid w:val="00DB48A0"/>
    <w:rsid w:val="00DB5303"/>
    <w:rsid w:val="00DB6411"/>
    <w:rsid w:val="00DB6492"/>
    <w:rsid w:val="00DB74FD"/>
    <w:rsid w:val="00DC1344"/>
    <w:rsid w:val="00DC1A68"/>
    <w:rsid w:val="00DC30C6"/>
    <w:rsid w:val="00DC4156"/>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12A3"/>
    <w:rsid w:val="00DE4833"/>
    <w:rsid w:val="00DE5705"/>
    <w:rsid w:val="00DF1467"/>
    <w:rsid w:val="00DF1740"/>
    <w:rsid w:val="00DF2267"/>
    <w:rsid w:val="00DF26DB"/>
    <w:rsid w:val="00DF363F"/>
    <w:rsid w:val="00DF4701"/>
    <w:rsid w:val="00DF573B"/>
    <w:rsid w:val="00DF5743"/>
    <w:rsid w:val="00DF624F"/>
    <w:rsid w:val="00DF6D0F"/>
    <w:rsid w:val="00DF7C87"/>
    <w:rsid w:val="00E001A6"/>
    <w:rsid w:val="00E002D4"/>
    <w:rsid w:val="00E01029"/>
    <w:rsid w:val="00E01412"/>
    <w:rsid w:val="00E01485"/>
    <w:rsid w:val="00E01493"/>
    <w:rsid w:val="00E02373"/>
    <w:rsid w:val="00E02BCA"/>
    <w:rsid w:val="00E039E4"/>
    <w:rsid w:val="00E03B86"/>
    <w:rsid w:val="00E03F56"/>
    <w:rsid w:val="00E05041"/>
    <w:rsid w:val="00E06B00"/>
    <w:rsid w:val="00E11782"/>
    <w:rsid w:val="00E118EE"/>
    <w:rsid w:val="00E1320F"/>
    <w:rsid w:val="00E13216"/>
    <w:rsid w:val="00E133CD"/>
    <w:rsid w:val="00E138DD"/>
    <w:rsid w:val="00E14341"/>
    <w:rsid w:val="00E162D1"/>
    <w:rsid w:val="00E162DC"/>
    <w:rsid w:val="00E16C27"/>
    <w:rsid w:val="00E2023E"/>
    <w:rsid w:val="00E20B5A"/>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401F5"/>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CDC"/>
    <w:rsid w:val="00E809C7"/>
    <w:rsid w:val="00E80F54"/>
    <w:rsid w:val="00E814D6"/>
    <w:rsid w:val="00E848AA"/>
    <w:rsid w:val="00E85077"/>
    <w:rsid w:val="00E8667F"/>
    <w:rsid w:val="00E86943"/>
    <w:rsid w:val="00E87053"/>
    <w:rsid w:val="00E8706B"/>
    <w:rsid w:val="00E87808"/>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596D"/>
    <w:rsid w:val="00EB15E2"/>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5269"/>
    <w:rsid w:val="00EC62C5"/>
    <w:rsid w:val="00EC6E5E"/>
    <w:rsid w:val="00EC70FF"/>
    <w:rsid w:val="00EC7B6F"/>
    <w:rsid w:val="00EC7D36"/>
    <w:rsid w:val="00ED0243"/>
    <w:rsid w:val="00ED0F2B"/>
    <w:rsid w:val="00ED13A5"/>
    <w:rsid w:val="00ED20CC"/>
    <w:rsid w:val="00ED3C74"/>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7B1E"/>
    <w:rsid w:val="00EF7F5E"/>
    <w:rsid w:val="00F02794"/>
    <w:rsid w:val="00F0399C"/>
    <w:rsid w:val="00F041EF"/>
    <w:rsid w:val="00F0450D"/>
    <w:rsid w:val="00F04E17"/>
    <w:rsid w:val="00F05284"/>
    <w:rsid w:val="00F05E78"/>
    <w:rsid w:val="00F06044"/>
    <w:rsid w:val="00F064CF"/>
    <w:rsid w:val="00F067A3"/>
    <w:rsid w:val="00F11119"/>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0F81"/>
    <w:rsid w:val="00F6103F"/>
    <w:rsid w:val="00F61AC4"/>
    <w:rsid w:val="00F6211F"/>
    <w:rsid w:val="00F623A8"/>
    <w:rsid w:val="00F62A08"/>
    <w:rsid w:val="00F637D6"/>
    <w:rsid w:val="00F6385C"/>
    <w:rsid w:val="00F6481D"/>
    <w:rsid w:val="00F6502B"/>
    <w:rsid w:val="00F65316"/>
    <w:rsid w:val="00F667E6"/>
    <w:rsid w:val="00F674A5"/>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B9A"/>
    <w:rsid w:val="00F92F32"/>
    <w:rsid w:val="00F93D54"/>
    <w:rsid w:val="00F9434B"/>
    <w:rsid w:val="00F975F1"/>
    <w:rsid w:val="00FA1C26"/>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37BA"/>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1">
    <w:name w:val="Mention1"/>
    <w:basedOn w:val="DefaultParagraphFont"/>
    <w:uiPriority w:val="99"/>
    <w:unhideWhenUsed/>
    <w:rsid w:val="001E0DE1"/>
    <w:rPr>
      <w:color w:val="2B579A"/>
      <w:shd w:val="clear" w:color="auto" w:fill="E1DFDD"/>
    </w:rPr>
  </w:style>
  <w:style w:type="paragraph" w:customStyle="1" w:styleId="TableParagraph">
    <w:name w:val="Table Paragraph"/>
    <w:basedOn w:val="Normal"/>
    <w:uiPriority w:val="1"/>
    <w:qFormat/>
    <w:rsid w:val="00CF30A4"/>
    <w:pPr>
      <w:widowControl w:val="0"/>
      <w:suppressAutoHyphens w:val="0"/>
      <w:autoSpaceDE w:val="0"/>
      <w:spacing w:after="0" w:line="240" w:lineRule="auto"/>
      <w:ind w:left="107"/>
      <w:jc w:val="center"/>
    </w:pPr>
    <w:rPr>
      <w:rFonts w:eastAsia="Arial" w:cs="Arial"/>
      <w:color w:val="auto"/>
      <w:sz w:val="22"/>
      <w:szCs w:val="22"/>
      <w:lang w:val="en-US" w:eastAsia="en-US"/>
    </w:rPr>
  </w:style>
  <w:style w:type="table" w:styleId="TableGrid">
    <w:name w:val="Table Grid"/>
    <w:basedOn w:val="TableNormal"/>
    <w:uiPriority w:val="39"/>
    <w:rsid w:val="00BF4AB1"/>
    <w:pPr>
      <w:autoSpaceDN/>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hyperlink" Target="https://educationendowmentfoundation.org.uk/education-evidence/guidance-reports/early-math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2tic4wvo1iusb.cloudfront.net/production/documents/news/Diagnostic_Assessment_Tool.pdf?v=169761997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ducationendowmentfoundation.org.uk/education-evidence/teaching-learning-toolkit/mastery-learning" TargetMode="External"/><Relationship Id="rId25" Type="http://schemas.openxmlformats.org/officeDocument/2006/relationships/hyperlink" Target="https://www.gov.uk/government/publications/school-attendance/framework-for-securing-full-attendance-actions-for-schools-and-local-authorities"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mastery-learning" TargetMode="External"/><Relationship Id="rId20" Type="http://schemas.openxmlformats.org/officeDocument/2006/relationships/hyperlink" Target="https://educationendowmentfoundation.org.uk/education-evidence/guidance-reports/early-math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cationendowmentfoundation.org.uk/education-evidence/teaching-learning-toolkit/behaviour-interventions"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mastery-learning" TargetMode="External"/><Relationship Id="rId23" Type="http://schemas.openxmlformats.org/officeDocument/2006/relationships/hyperlink" Target="https://educationendowmentfoundation.org.uk/evidence-summaries/teaching-learning-toolkit/small-group-tuit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endowmentfoundation.org.uk/education-evidence/guidance-reports/early-math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public/files/Publications/SEL/EEF_Social_and_Emotional_Learning.pdf" TargetMode="External"/><Relationship Id="rId22" Type="http://schemas.openxmlformats.org/officeDocument/2006/relationships/hyperlink" Target="https://d2tic4wvo1iusb.cloudfront.net/producti"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2.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71D13-0605-4DFB-9953-903A38B89825}">
  <ds:schemaRefs>
    <ds:schemaRef ds:uri="http://schemas.openxmlformats.org/officeDocument/2006/bibliography"/>
  </ds:schemaRefs>
</ds:datastoreItem>
</file>

<file path=customXml/itemProps4.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19157</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Headteacher</cp:lastModifiedBy>
  <cp:revision>5</cp:revision>
  <cp:lastPrinted>2026-02-25T14:19:00Z</cp:lastPrinted>
  <dcterms:created xsi:type="dcterms:W3CDTF">2026-02-27T09:50:00Z</dcterms:created>
  <dcterms:modified xsi:type="dcterms:W3CDTF">2026-03-09T09:23:00Z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